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AI breaches don't start in the model; they start with who has access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approving AI tools connected to company data who answers for the risk if something leaks.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In 30 seconds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IBM's annual data breach study finds that among organizations that suffered an AI-related breach, 92% lacked proper access controls for those systems.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AI risk in your operation is less exotic than it sounds: it is who gets in, with which permissions and through which connection.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Before adding another tool, review access, connections and encryption on what already runs.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exhibit</w:t>
      </w:r>
    </w:p>
    <w:p>
      <w:pPr>
        <w:spacing w:after="160"/>
      </w:pPr>
      <w:r>
        <w:rPr>
          <w:b/>
          <w:bCs/>
        </w:rPr>
        <w:t xml:space="preserve">Basic controls over AI are still the exception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161"/>
        <w:gridCol w:w="2139"/>
      </w:tblGrid>
      <w:tr>
        <w:trPr>
          <w:cantSplit/>
          <w:tblHeader/>
        </w:trPr>
        <w:tc>
          <w:tcPr>
            <w:tcW w:type="pct" w:w="3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3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No proper AI access controls (among orgs with an AI breach)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92</w:t>
            </w:r>
          </w:p>
        </w:tc>
      </w:tr>
      <w:tr>
        <w:trPr>
          <w:cantSplit/>
        </w:trPr>
        <w:tc>
          <w:tcPr>
            <w:tcW w:type="pct" w:w="3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Use access controls on AI models and data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40</w:t>
            </w:r>
          </w:p>
        </w:tc>
      </w:tr>
      <w:tr>
        <w:trPr>
          <w:cantSplit/>
        </w:trPr>
        <w:tc>
          <w:tcPr>
            <w:tcW w:type="pct" w:w="3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Encrypt sensitive data at rest and in transit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37</w:t>
            </w:r>
          </w:p>
        </w:tc>
      </w:tr>
      <w:tr>
        <w:trPr>
          <w:cantSplit/>
        </w:trPr>
        <w:tc>
          <w:tcPr>
            <w:tcW w:type="pct" w:w="3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Apply agents to vulnerability management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18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IBM and Ponemon Institute, Cost of a Data Breach Report 2026, July 29, 2026. 602 organizations breached between Mar. 2025 and Feb. 2026.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Fact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study covers 602 organizations breached between March 2025 and February 2026. The global average cost reached a record $4.99 million, up 12% from the prior year.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More than 20% of organizations reported a breach targeting AI models or applications. Main causes: compromised APIs, applications or plug-ins (27%) and cloud misconfigurations affecting AI workloads (27%).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Of organizations with AI-related breaches, 92% lacked proper access controls. Only 40% reported using access controls on AI models and data.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One in four malicious breaches was AI-enabled, at an average cost of $6 million.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Only 37% encrypt sensitive data both at rest and in transit.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My read</w:t>
      </w:r>
    </w:p>
    <w:p>
      <w:pPr>
        <w:spacing w:after="160"/>
      </w:pPr>
      <w:r>
        <w:t xml:space="preserve">The AI risk conversation often drifts to sophisticated topics. This study points to something more basic: permissions, connections and configuration. That is good news for a manager, because it can be reviewed without being a model expert. A tool connected to email, the CRM or a shared folder inherits whatever permissions you gave it. If nobody knows what those are, that is the first risk worth closing.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to do on Monday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 the AI tools your area already uses, which data they connect to and who granted access. </w:t>
      </w:r>
      <w:hyperlink w:history="1" r:id="rIdpn-z3scpmpvqoblhg3qpn">
        <w:r>
          <w:rPr>
            <w:rStyle w:val="Hyperlink"/>
          </w:rPr>
          <w:t xml:space="preserve">Sheet: inventory of the AI you already pay for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Add three rows to your risk register: AI access, connections and plug-ins, and cloud configuration. </w:t>
      </w:r>
      <w:hyperlink w:history="1" r:id="rIdtbtqdb3ezklyklsk2n6yw">
        <w:r>
          <w:rPr>
            <w:rStyle w:val="Hyperlink"/>
          </w:rPr>
          <w:t xml:space="preserve">Sheet: risk and readiness register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Publish a short policy stating which data goes into no tool without approval. </w:t>
      </w:r>
      <w:hyperlink w:history="1" r:id="rIdiatgtdrpqgt6b-1-zpuwv">
        <w:r>
          <w:rPr>
            <w:rStyle w:val="Hyperlink"/>
          </w:rPr>
          <w:t xml:space="preserve">Sheet: one-page AI policy</w:t>
        </w:r>
      </w:hyperlink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we don't know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It only includes organizations that were breached; there is no comparison with those that weren't.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IBM sponsors and publishes the study and sells security and identity products related to its findings.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release does not list countries; we don't know how many Latin American companies are in the sample.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decision is hard to reverse and carries your name, the free tools at vicsol.org/decision-clarity/ help you structure it. They don't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Independent summary of a public source; figures belong to their author.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pn-z3scpmpvqoblhg3qpn" Type="http://schemas.openxmlformats.org/officeDocument/2006/relationships/hyperlink" Target="https://vicsol.org/resources/inventario-ia-que-ya-pagas/" TargetMode="External"/><Relationship Id="rIdtbtqdb3ezklyklsk2n6yw" Type="http://schemas.openxmlformats.org/officeDocument/2006/relationships/hyperlink" Target="https://vicsol.org/resources/registro-riesgos-y-readiness/" TargetMode="External"/><Relationship Id="rIdiatgtdrpqgt6b-1-zpuwv" Type="http://schemas.openxmlformats.org/officeDocument/2006/relationships/hyperlink" Target="https://vicsol.org/resources/politica-ia-una-pagina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breaches don't start in the model; they start with who has access</dc:title>
  <dc:subject>Decision sheet</dc:subject>
  <dc:creator>Vic Sol · Decision Desk</dc:creator>
  <cp:keywords>Vic Sol, Decision Desk, AI decisions</cp:keywords>
  <dc:description>AI breaches don't start in the model; they start with who has access</dc:description>
  <cp:lastModifiedBy>Un-named</cp:lastModifiedBy>
  <cp:revision>1</cp:revision>
  <dcterms:created xsi:type="dcterms:W3CDTF">2026-11-03T21:18:49.875Z</dcterms:created>
  <dcterms:modified xsi:type="dcterms:W3CDTF">2026-11-03T21:18:49.875Z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