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En finanzas, la IA se compra para ahorrar tiempo y pocas veces para decidir mejor</w:t>
      </w:r>
    </w:p>
    <w:p>
      <w:pPr>
        <w:pBdr>
          <w:left w:val="single" w:color="9A7B2F" w:sz="18" w:space="12"/>
        </w:pBdr>
        <w:spacing w:after="220" w:before="60"/>
        <w:ind w:left="360"/>
      </w:pPr>
      <w:r>
        <w:rPr>
          <w:i/>
          <w:iCs/>
          <w:color w:val="4B5563"/>
        </w:rPr>
        <w:t xml:space="preserve">Para quien aprueba o propone inversiones de IA en finanzas antes de cerrar el presupuesto del próximo año.</w:t>
      </w:r>
    </w:p>
    <w:p>
      <w:pPr>
        <w:pStyle w:val="Heading1"/>
      </w:pPr>
      <w:r>
        <w:rPr>
          <w:rFonts w:ascii="Georgia" w:cs="Georgia" w:eastAsia="Georgia" w:hAnsi="Georgia"/>
          <w:color w:val="0B1224"/>
          <w:sz w:val="30"/>
          <w:szCs w:val="30"/>
        </w:rPr>
        <w:t xml:space="preserve">En 30 segundos</w:t>
      </w:r>
    </w:p>
    <w:p>
      <w:pPr>
        <w:pStyle w:val="ListParagraph"/>
        <w:numPr>
          <w:ilvl w:val="0"/>
          <w:numId w:val="2"/>
        </w:numPr>
        <w:spacing w:after="80"/>
      </w:pPr>
      <w:r>
        <w:t xml:space="preserve">Una encuesta de Gartner a 204 líderes de finanzas encuentra que el 45 % de las inversiones de IA en el área se inclina a productividad y solo el 20 % a mejorar la calidad de las decisiones.</w:t>
      </w:r>
    </w:p>
    <w:p>
      <w:pPr>
        <w:pStyle w:val="ListParagraph"/>
        <w:numPr>
          <w:ilvl w:val="0"/>
          <w:numId w:val="2"/>
        </w:numPr>
        <w:spacing w:after="80"/>
      </w:pPr>
      <w:r>
        <w:t xml:space="preserve">Si todo tu portafolio de IA es eficiencia, compites por ahorros que se agotan y dejas sin atender las decisiones que más pesan en el resultado.</w:t>
      </w:r>
    </w:p>
    <w:p>
      <w:pPr>
        <w:pStyle w:val="ListParagraph"/>
        <w:numPr>
          <w:ilvl w:val="0"/>
          <w:numId w:val="2"/>
        </w:numPr>
        <w:spacing w:after="80"/>
      </w:pPr>
      <w:r>
        <w:t xml:space="preserve">Clasifica tus inversiones actuales y asegura al menos un caso orientado a decidir mejor.</w:t>
      </w:r>
    </w:p>
    <w:p>
      <w:pPr>
        <w:pStyle w:val="Heading1"/>
      </w:pPr>
      <w:r>
        <w:rPr>
          <w:rFonts w:ascii="Georgia" w:cs="Georgia" w:eastAsia="Georgia" w:hAnsi="Georgia"/>
          <w:color w:val="0B1224"/>
          <w:sz w:val="30"/>
          <w:szCs w:val="30"/>
        </w:rPr>
        <w:t xml:space="preserve">El dato</w:t>
      </w:r>
    </w:p>
    <w:p>
      <w:pPr>
        <w:spacing w:after="160"/>
      </w:pPr>
      <w:r>
        <w:rPr>
          <w:b/>
          <w:bCs/>
        </w:rPr>
        <w:t xml:space="preserve">Finanzas invierte en eficiencia; la calidad de decisión queda atrás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161"/>
        <w:gridCol w:w="2139"/>
      </w:tblGrid>
      <w:tr>
        <w:trPr>
          <w:cantSplit/>
          <w:tblHeader/>
        </w:trPr>
        <w:tc>
          <w:tcPr>
            <w:tcW w:type="pct" w:w="38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Dato / Data point</w:t>
            </w:r>
          </w:p>
        </w:tc>
        <w:tc>
          <w:tcPr>
            <w:tcW w:type="pct" w:w="11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Valor / Value (%)</w:t>
            </w:r>
          </w:p>
        </w:tc>
      </w:tr>
      <w:tr>
        <w:trPr>
          <w:cantSplit/>
        </w:trPr>
        <w:tc>
          <w:tcPr>
            <w:tcW w:type="pct" w:w="3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Reportan eficiencia y productividad como beneficio principal</w:t>
            </w:r>
          </w:p>
        </w:tc>
        <w:tc>
          <w:tcPr>
            <w:tcW w:type="pct" w:w="1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66</w:t>
            </w:r>
          </w:p>
        </w:tc>
      </w:tr>
      <w:tr>
        <w:trPr>
          <w:cantSplit/>
        </w:trPr>
        <w:tc>
          <w:tcPr>
            <w:tcW w:type="pct" w:w="3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Implementación más lenta de lo esperado en 2025</w:t>
            </w:r>
          </w:p>
        </w:tc>
        <w:tc>
          <w:tcPr>
            <w:tcW w:type="pct" w:w="1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63</w:t>
            </w:r>
          </w:p>
        </w:tc>
      </w:tr>
      <w:tr>
        <w:trPr>
          <w:cantSplit/>
        </w:trPr>
        <w:tc>
          <w:tcPr>
            <w:tcW w:type="pct" w:w="3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Inversiones de IA que se inclinan a productividad</w:t>
            </w:r>
          </w:p>
        </w:tc>
        <w:tc>
          <w:tcPr>
            <w:tcW w:type="pct" w:w="1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45</w:t>
            </w:r>
          </w:p>
        </w:tc>
      </w:tr>
      <w:tr>
        <w:trPr>
          <w:cantSplit/>
        </w:trPr>
        <w:tc>
          <w:tcPr>
            <w:tcW w:type="pct" w:w="3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Inversiones de IA que se inclinan a calidad de decisión</w:t>
            </w:r>
          </w:p>
        </w:tc>
        <w:tc>
          <w:tcPr>
            <w:tcW w:type="pct" w:w="1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20</w:t>
            </w:r>
          </w:p>
        </w:tc>
      </w:tr>
    </w:tbl>
    <w:p>
      <w:pPr>
        <w:spacing w:after="120"/>
      </w:pPr>
    </w:p>
    <w:p>
      <w:pPr>
        <w:spacing w:after="160"/>
      </w:pPr>
      <w:r>
        <w:rPr>
          <w:i/>
          <w:iCs/>
        </w:rPr>
        <w:t xml:space="preserve">Gartner, encuesta a 204 líderes de finanzas, marzo 2026; comunicados del 28 may. y 20 jul. 2026.</w:t>
      </w:r>
    </w:p>
    <w:p>
      <w:pPr>
        <w:pStyle w:val="Heading1"/>
      </w:pPr>
      <w:r>
        <w:rPr>
          <w:rFonts w:ascii="Georgia" w:cs="Georgia" w:eastAsia="Georgia" w:hAnsi="Georgia"/>
          <w:color w:val="0B1224"/>
          <w:sz w:val="30"/>
          <w:szCs w:val="30"/>
        </w:rPr>
        <w:t xml:space="preserve">Hecho</w:t>
      </w:r>
    </w:p>
    <w:p>
      <w:pPr>
        <w:pStyle w:val="ListParagraph"/>
        <w:numPr>
          <w:ilvl w:val="0"/>
          <w:numId w:val="2"/>
        </w:numPr>
        <w:spacing w:after="80"/>
      </w:pPr>
      <w:r>
        <w:t xml:space="preserve">Gartner encuestó a 204 líderes de finanzas en marzo de 2026.</w:t>
      </w:r>
    </w:p>
    <w:p>
      <w:pPr>
        <w:pStyle w:val="ListParagraph"/>
        <w:numPr>
          <w:ilvl w:val="0"/>
          <w:numId w:val="2"/>
        </w:numPr>
        <w:spacing w:after="80"/>
      </w:pPr>
      <w:r>
        <w:t xml:space="preserve">El 45 % de las inversiones de IA en finanzas se inclina a productividad; el 20 %, a calidad de decisión.</w:t>
      </w:r>
    </w:p>
    <w:p>
      <w:pPr>
        <w:pStyle w:val="ListParagraph"/>
        <w:numPr>
          <w:ilvl w:val="0"/>
          <w:numId w:val="2"/>
        </w:numPr>
        <w:spacing w:after="80"/>
      </w:pPr>
      <w:r>
        <w:t xml:space="preserve">Entre las áreas de finanzas que ya adoptaron IA, el 66 % reporta mayor eficiencia y productividad como beneficio principal.</w:t>
      </w:r>
    </w:p>
    <w:p>
      <w:pPr>
        <w:pStyle w:val="ListParagraph"/>
        <w:numPr>
          <w:ilvl w:val="0"/>
          <w:numId w:val="2"/>
        </w:numPr>
        <w:spacing w:after="80"/>
      </w:pPr>
      <w:r>
        <w:t xml:space="preserve">El 63 % dice que la implementación de IA fue más lenta de lo esperado en 2025.</w:t>
      </w:r>
    </w:p>
    <w:p>
      <w:pPr>
        <w:pStyle w:val="ListParagraph"/>
        <w:numPr>
          <w:ilvl w:val="0"/>
          <w:numId w:val="2"/>
        </w:numPr>
        <w:spacing w:after="80"/>
      </w:pPr>
      <w:r>
        <w:t xml:space="preserve">Las iniciativas que crean nuevas propuestas de valor, productos o mercados tuvieron más del doble de probabilidad de reportar alto valor realizado. Gartner no publica la cifra exacta.</w:t>
      </w:r>
    </w:p>
    <w:p>
      <w:pPr>
        <w:pStyle w:val="Heading1"/>
      </w:pPr>
      <w:r>
        <w:rPr>
          <w:rFonts w:ascii="Georgia" w:cs="Georgia" w:eastAsia="Georgia" w:hAnsi="Georgia"/>
          <w:color w:val="0B1224"/>
          <w:sz w:val="30"/>
          <w:szCs w:val="30"/>
        </w:rPr>
        <w:t xml:space="preserve">Mi lectura</w:t>
      </w:r>
    </w:p>
    <w:p>
      <w:pPr>
        <w:spacing w:after="160"/>
      </w:pPr>
      <w:r>
        <w:t xml:space="preserve">Empezar por eficiencia tiene sentido: es medible y de bajo riesgo. El problema aparece cuando el portafolio se queda ahí. Un ahorro de horas tiene techo; una mejor decisión de crédito, precio o pronóstico puede mover el resultado del año. Que la implementación vaya más lenta de lo esperado también sugiere que el costo real de cada caso es mayor que el de la propuesta original. Antes de comprar más productividad, conviene preguntar qué decisión importante sigue igual que hace dos años.</w:t>
      </w:r>
    </w:p>
    <w:p>
      <w:pPr>
        <w:pStyle w:val="Heading1"/>
      </w:pPr>
      <w:r>
        <w:rPr>
          <w:rFonts w:ascii="Georgia" w:cs="Georgia" w:eastAsia="Georgia" w:hAnsi="Georgia"/>
          <w:color w:val="0B1224"/>
          <w:sz w:val="30"/>
          <w:szCs w:val="30"/>
        </w:rPr>
        <w:t xml:space="preserve">Qué hacer el lunes</w:t>
      </w:r>
    </w:p>
    <w:p>
      <w:pPr>
        <w:pStyle w:val="ListParagraph"/>
        <w:numPr>
          <w:ilvl w:val="0"/>
          <w:numId w:val="3"/>
        </w:numPr>
        <w:spacing w:after="80"/>
      </w:pPr>
      <w:r>
        <w:t xml:space="preserve">Pon tus inversiones de IA de finanzas en tres columnas: productividad, calidad de decisión y nuevo valor. </w:t>
      </w:r>
      <w:hyperlink w:history="1" r:id="rId7_jqedzcdpxxux6--aujg">
        <w:r>
          <w:rPr>
            <w:rStyle w:val="Hyperlink"/>
          </w:rPr>
          <w:t xml:space="preserve">Hoja: matriz de priorización de casos de uso</w:t>
        </w:r>
      </w:hyperlink>
    </w:p>
    <w:p>
      <w:pPr>
        <w:pStyle w:val="ListParagraph"/>
        <w:numPr>
          <w:ilvl w:val="0"/>
          <w:numId w:val="3"/>
        </w:numPr>
        <w:spacing w:after="80"/>
      </w:pPr>
      <w:r>
        <w:t xml:space="preserve">Para cada inversión, calcula el costo total al sexto mes, no solo la licencia. </w:t>
      </w:r>
      <w:hyperlink w:history="1" r:id="rIdyxqjb2wt0tlsmcctwc5p2">
        <w:r>
          <w:rPr>
            <w:rStyle w:val="Hyperlink"/>
          </w:rPr>
          <w:t xml:space="preserve">Hoja: costo total al mes 6</w:t>
        </w:r>
      </w:hyperlink>
    </w:p>
    <w:p>
      <w:pPr>
        <w:pStyle w:val="ListParagraph"/>
        <w:numPr>
          <w:ilvl w:val="0"/>
          <w:numId w:val="3"/>
        </w:numPr>
        <w:spacing w:after="80"/>
      </w:pPr>
      <w:r>
        <w:t xml:space="preserve">Elige una decisión recurrente (pronóstico, crédito, precios) y escribe su caso de negocio en una página. </w:t>
      </w:r>
      <w:hyperlink w:history="1" r:id="rIdqe-1fiamwccf-6k3_6kk8">
        <w:r>
          <w:rPr>
            <w:rStyle w:val="Hyperlink"/>
          </w:rPr>
          <w:t xml:space="preserve">Hoja: caso de negocio en una página</w:t>
        </w:r>
      </w:hyperlink>
    </w:p>
    <w:p>
      <w:pPr>
        <w:pStyle w:val="Heading1"/>
      </w:pPr>
      <w:r>
        <w:rPr>
          <w:rFonts w:ascii="Georgia" w:cs="Georgia" w:eastAsia="Georgia" w:hAnsi="Georgia"/>
          <w:color w:val="0B1224"/>
          <w:sz w:val="30"/>
          <w:szCs w:val="30"/>
        </w:rPr>
        <w:t xml:space="preserve">Qué no sabemos</w:t>
      </w:r>
    </w:p>
    <w:p>
      <w:pPr>
        <w:pStyle w:val="ListParagraph"/>
        <w:numPr>
          <w:ilvl w:val="0"/>
          <w:numId w:val="2"/>
        </w:numPr>
        <w:spacing w:after="80"/>
      </w:pPr>
      <w:r>
        <w:t xml:space="preserve">La muestra es de 204 personas y el comunicado no dice en qué regiones; no sabemos si aplica igual a LatAm.</w:t>
      </w:r>
    </w:p>
    <w:p>
      <w:pPr>
        <w:pStyle w:val="ListParagraph"/>
        <w:numPr>
          <w:ilvl w:val="0"/>
          <w:numId w:val="2"/>
        </w:numPr>
        <w:spacing w:after="80"/>
      </w:pPr>
      <w:r>
        <w:t xml:space="preserve">El texto público no muestra el resto de la distribución de inversiones, solo el 45 % y el 20 %.</w:t>
      </w:r>
    </w:p>
    <w:p>
      <w:pPr>
        <w:pStyle w:val="ListParagraph"/>
        <w:numPr>
          <w:ilvl w:val="0"/>
          <w:numId w:val="2"/>
        </w:numPr>
        <w:spacing w:after="80"/>
      </w:pPr>
      <w:r>
        <w:t xml:space="preserve">Gartner vende asesoría sobre estos temas y el informe completo es solo para clientes.</w:t>
      </w:r>
    </w:p>
    <w:p>
      <w:pPr>
        <w:pStyle w:val="Heading1"/>
      </w:pPr>
      <w:r>
        <w:rPr>
          <w:rFonts w:ascii="Georgia" w:cs="Georgia" w:eastAsia="Georgia" w:hAnsi="Georgia"/>
          <w:color w:val="0B1224"/>
          <w:sz w:val="30"/>
          <w:szCs w:val="30"/>
        </w:rPr>
        <w:t xml:space="preserve">Si esto se vuelve una decisión grande</w:t>
      </w:r>
    </w:p>
    <w:p>
      <w:pPr>
        <w:spacing w:after="160"/>
      </w:pPr>
      <w:r>
        <w:t xml:space="preserve">Si la decisión es difícil de revertir y lleva tu nombre, las herramientas gratuitas de vicsol.org/es/decision-clarity/ te ayudan a estructurarla. No reemplazan una revisión formal.</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Mesa de Decisiones · vicsol.org/es/recursos/ · Uso libre con atribución.</w:t>
    </w:r>
  </w:p>
  <w:p>
    <w:pPr>
      <w:spacing w:after="40"/>
    </w:pPr>
    <w:r>
      <w:rPr>
        <w:rFonts w:ascii="Inter" w:cs="Inter" w:eastAsia="Inter" w:hAnsi="Inter"/>
        <w:color w:val="4B5563"/>
        <w:sz w:val="15"/>
        <w:szCs w:val="15"/>
      </w:rPr>
      <w:t xml:space="preserve">Resumen independiente de una fuente pública; las cifras pertenecen a su autor. No es asesoría legal, financiera ni de auditoría.</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Mesa de Decisiones</w:t>
    </w:r>
    <w:r>
      <w:rPr>
        <w:rFonts w:ascii="Inter" w:cs="Inter" w:eastAsia="Inter" w:hAnsi="Inter"/>
        <w:color w:val="4B5563"/>
        <w:sz w:val="16"/>
        <w:szCs w:val="16"/>
      </w:rPr>
      <w:t xml:space="preserve">	vicsol.org/es/recursos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7_jqedzcdpxxux6--aujg" Type="http://schemas.openxmlformats.org/officeDocument/2006/relationships/hyperlink" Target="https://vicsol.org/es/recursos/matriz-priorizacion-casos-uso/" TargetMode="External"/><Relationship Id="rIdyxqjb2wt0tlsmcctwc5p2" Type="http://schemas.openxmlformats.org/officeDocument/2006/relationships/hyperlink" Target="https://vicsol.org/es/recursos/costo-total-mes-6/" TargetMode="External"/><Relationship Id="rIdqe-1fiamwccf-6k3_6kk8" Type="http://schemas.openxmlformats.org/officeDocument/2006/relationships/hyperlink" Target="https://vicsol.org/es/recursos/caso-de-negocio-una-pagina/"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finanzas, la IA se compra para ahorrar tiempo y pocas veces para decidir mejor</dc:title>
  <dc:subject>Hoja de decisión</dc:subject>
  <dc:creator>Vic Sol · Mesa de Decisiones</dc:creator>
  <cp:keywords>Vic Sol, Mesa de Decisiones, decisiones de IA</cp:keywords>
  <dc:description>En finanzas, la IA se compra para ahorrar tiempo y pocas veces para decidir mejor</dc:description>
  <cp:lastModifiedBy>Un-named</cp:lastModifiedBy>
  <cp:revision>1</cp:revision>
  <dcterms:created xsi:type="dcterms:W3CDTF">2026-11-03T21:18:49.978Z</dcterms:created>
  <dcterms:modified xsi:type="dcterms:W3CDTF">2026-11-03T21:18:49.978Z</dcterms:modified>
</cp:coreProperties>
</file>

<file path=docProps/custom.xml><?xml version="1.0" encoding="utf-8"?>
<Properties xmlns="http://schemas.openxmlformats.org/officeDocument/2006/custom-properties" xmlns:vt="http://schemas.openxmlformats.org/officeDocument/2006/docPropsVTypes"/>
</file>