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Casi ocho de cada diez pymes dicen usar IA; poco más de una de cada diez paga por ella</w:t>
      </w:r>
    </w:p>
    <w:p>
      <w:pPr>
        <w:pBdr>
          <w:left w:val="single" w:color="9A7B2F" w:sz="18" w:space="12"/>
        </w:pBdr>
        <w:spacing w:after="220" w:before="60"/>
        <w:ind w:left="360"/>
      </w:pPr>
      <w:r>
        <w:rPr>
          <w:i/>
          <w:iCs/>
          <w:color w:val="4B5563"/>
        </w:rPr>
        <w:t xml:space="preserve">Para dueños y gerentes de pymes que están por pagar su primera herramienta de IA dedicada, o por renovar una.</w:t>
      </w:r>
    </w:p>
    <w:p>
      <w:pPr>
        <w:pStyle w:val="Heading1"/>
      </w:pPr>
      <w:r>
        <w:rPr>
          <w:rFonts w:ascii="Georgia" w:cs="Georgia" w:eastAsia="Georgia" w:hAnsi="Georgia"/>
          <w:color w:val="0B1224"/>
          <w:sz w:val="30"/>
          <w:szCs w:val="30"/>
        </w:rPr>
        <w:t xml:space="preserve">En 30 segundos</w:t>
      </w:r>
    </w:p>
    <w:p>
      <w:pPr>
        <w:pStyle w:val="ListParagraph"/>
        <w:numPr>
          <w:ilvl w:val="0"/>
          <w:numId w:val="2"/>
        </w:numPr>
        <w:spacing w:after="80"/>
      </w:pPr>
      <w:r>
        <w:t xml:space="preserve">En EE. UU., el 77 % de las pymes encuestadas por Intuit dice usar IA con regularidad, pero en los registros de pago solo el 12 % pagó por herramientas de IA dedicadas entre 2021 y 2025.</w:t>
      </w:r>
    </w:p>
    <w:p>
      <w:pPr>
        <w:pStyle w:val="ListParagraph"/>
        <w:numPr>
          <w:ilvl w:val="0"/>
          <w:numId w:val="2"/>
        </w:numPr>
        <w:spacing w:after="80"/>
      </w:pPr>
      <w:r>
        <w:t xml:space="preserve">La mayoría usa herramientas generales o gratuitas. Pagar por una herramienta específica es una decisión distinta y merece su propio caso.</w:t>
      </w:r>
    </w:p>
    <w:p>
      <w:pPr>
        <w:pStyle w:val="ListParagraph"/>
        <w:numPr>
          <w:ilvl w:val="0"/>
          <w:numId w:val="2"/>
        </w:numPr>
        <w:spacing w:after="80"/>
      </w:pPr>
      <w:r>
        <w:t xml:space="preserve">Antes de pagar, lista lo que ya usas y compara contra el proceso que quieres mejorar.</w:t>
      </w:r>
    </w:p>
    <w:p>
      <w:pPr>
        <w:pStyle w:val="Heading1"/>
      </w:pPr>
      <w:r>
        <w:rPr>
          <w:rFonts w:ascii="Georgia" w:cs="Georgia" w:eastAsia="Georgia" w:hAnsi="Georgia"/>
          <w:color w:val="0B1224"/>
          <w:sz w:val="30"/>
          <w:szCs w:val="30"/>
        </w:rPr>
        <w:t xml:space="preserve">El dato</w:t>
      </w:r>
    </w:p>
    <w:p>
      <w:pPr>
        <w:spacing w:after="160"/>
      </w:pPr>
      <w:r>
        <w:rPr>
          <w:b/>
          <w:bCs/>
        </w:rPr>
        <w:t xml:space="preserve">Usar IA es común; pagar por herramientas dedicadas no</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347"/>
        <w:gridCol w:w="1953"/>
      </w:tblGrid>
      <w:tr>
        <w:trPr>
          <w:cantSplit/>
          <w:tblHeader/>
        </w:trPr>
        <w:tc>
          <w:tcPr>
            <w:tcW w:type="pct" w:w="39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Dato / Data point</w:t>
            </w:r>
          </w:p>
        </w:tc>
        <w:tc>
          <w:tcPr>
            <w:tcW w:type="pct" w:w="10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Valor / Value (%)</w:t>
            </w:r>
          </w:p>
        </w:tc>
      </w:tr>
      <w:tr>
        <w:trPr>
          <w:cantSplit/>
        </w:trPr>
        <w:tc>
          <w:tcPr>
            <w:tcW w:type="pct" w:w="3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Usan IA con regularidad (encuesta, EE. UU.)</w:t>
            </w: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77</w:t>
            </w:r>
          </w:p>
        </w:tc>
      </w:tr>
      <w:tr>
        <w:trPr>
          <w:cantSplit/>
        </w:trPr>
        <w:tc>
          <w:tcPr>
            <w:tcW w:type="pct" w:w="3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Dicen que mejoró su productividad (EE. UU.)</w:t>
            </w: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78</w:t>
            </w:r>
          </w:p>
        </w:tc>
      </w:tr>
      <w:tr>
        <w:trPr>
          <w:cantSplit/>
        </w:trPr>
        <w:tc>
          <w:tcPr>
            <w:tcW w:type="pct" w:w="3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Dicen que aumentó sus ingresos (EE. UU.)</w:t>
            </w: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43</w:t>
            </w:r>
          </w:p>
        </w:tc>
      </w:tr>
      <w:tr>
        <w:trPr>
          <w:cantSplit/>
        </w:trPr>
        <w:tc>
          <w:tcPr>
            <w:tcW w:type="pct" w:w="3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Pagaron herramientas de IA dedicadas 2021-2025 (registros, EE. UU.)</w:t>
            </w: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12</w:t>
            </w:r>
          </w:p>
        </w:tc>
      </w:tr>
    </w:tbl>
    <w:p>
      <w:pPr>
        <w:spacing w:after="120"/>
      </w:pPr>
    </w:p>
    <w:p>
      <w:pPr>
        <w:spacing w:after="160"/>
      </w:pPr>
      <w:r>
        <w:rPr>
          <w:i/>
          <w:iCs/>
        </w:rPr>
        <w:t xml:space="preserve">Intuit con economistas de la Universidad de Chicago, 2026 AI Impact Report, 12 may. 2026. Encuesta a más de 34,000 dueños de pymes y datos anónimos de más de 5.3 millones de negocios en QuickBooks (EE. UU., Canadá, Reino Unido y Australia).</w:t>
      </w:r>
    </w:p>
    <w:p>
      <w:pPr>
        <w:pStyle w:val="Heading1"/>
      </w:pPr>
      <w:r>
        <w:rPr>
          <w:rFonts w:ascii="Georgia" w:cs="Georgia" w:eastAsia="Georgia" w:hAnsi="Georgia"/>
          <w:color w:val="0B1224"/>
          <w:sz w:val="30"/>
          <w:szCs w:val="30"/>
        </w:rPr>
        <w:t xml:space="preserve">Hecho</w:t>
      </w:r>
    </w:p>
    <w:p>
      <w:pPr>
        <w:pStyle w:val="ListParagraph"/>
        <w:numPr>
          <w:ilvl w:val="0"/>
          <w:numId w:val="2"/>
        </w:numPr>
        <w:spacing w:after="80"/>
      </w:pPr>
      <w:r>
        <w:t xml:space="preserve">Cerca de 7 de cada 10 negocios en EE. UU., Canadá, Reino Unido y Australia usan IA con regularidad. En EE. UU. la cifra es 77 %, frente a 48 % en julio de 2024.</w:t>
      </w:r>
    </w:p>
    <w:p>
      <w:pPr>
        <w:pStyle w:val="ListParagraph"/>
        <w:numPr>
          <w:ilvl w:val="0"/>
          <w:numId w:val="2"/>
        </w:numPr>
        <w:spacing w:after="80"/>
      </w:pPr>
      <w:r>
        <w:t xml:space="preserve">El 78 % de las pymes de EE. UU. dice que la IA mejoró su productividad (46 % en julio de 2024). El 43 % dice que aumentó sus ingresos; el 2 %, que los redujo.</w:t>
      </w:r>
    </w:p>
    <w:p>
      <w:pPr>
        <w:pStyle w:val="ListParagraph"/>
        <w:numPr>
          <w:ilvl w:val="0"/>
          <w:numId w:val="2"/>
        </w:numPr>
        <w:spacing w:after="80"/>
      </w:pPr>
      <w:r>
        <w:t xml:space="preserve">En los registros de pago, cerca de 1 de cada 10 negocios en cada mercado paga herramientas de IA dedicadas. El 86 % de las pymes de EE. UU. que pagaron en 2024 siguió pagando en 2025.</w:t>
      </w:r>
    </w:p>
    <w:p>
      <w:pPr>
        <w:pStyle w:val="ListParagraph"/>
        <w:numPr>
          <w:ilvl w:val="0"/>
          <w:numId w:val="2"/>
        </w:numPr>
        <w:spacing w:after="80"/>
      </w:pPr>
      <w:r>
        <w:t xml:space="preserve">El sector de información de EE. UU. tiene la tasa de pago más alta: 32 %. La adopción es mayor en marketing, administración y atención al cliente.</w:t>
      </w:r>
    </w:p>
    <w:p>
      <w:pPr>
        <w:pStyle w:val="Heading1"/>
      </w:pPr>
      <w:r>
        <w:rPr>
          <w:rFonts w:ascii="Georgia" w:cs="Georgia" w:eastAsia="Georgia" w:hAnsi="Georgia"/>
          <w:color w:val="0B1224"/>
          <w:sz w:val="30"/>
          <w:szCs w:val="30"/>
        </w:rPr>
        <w:t xml:space="preserve">Mi lectura</w:t>
      </w:r>
    </w:p>
    <w:p>
      <w:pPr>
        <w:spacing w:after="160"/>
      </w:pPr>
      <w:r>
        <w:t xml:space="preserve">Hay dos números que conviene no mezclar: lo que la gente dice que hace y lo que aparece en la contabilidad. Usar un chat gratuito para redactar correos cuenta como "usar IA", pero no es lo mismo que pagar una herramienta integrada a tu operación. Que la mayoría de quienes pagan siga pagando al año siguiente sugiere que, cuando se elige bien, la herramienta se queda. La pregunta útil para una pyme no es si usar IA, sino qué proceso justifica pagar por ella.</w:t>
      </w:r>
    </w:p>
    <w:p>
      <w:pPr>
        <w:pStyle w:val="Heading1"/>
      </w:pPr>
      <w:r>
        <w:rPr>
          <w:rFonts w:ascii="Georgia" w:cs="Georgia" w:eastAsia="Georgia" w:hAnsi="Georgia"/>
          <w:color w:val="0B1224"/>
          <w:sz w:val="30"/>
          <w:szCs w:val="30"/>
        </w:rPr>
        <w:t xml:space="preserve">Qué hacer el lunes</w:t>
      </w:r>
    </w:p>
    <w:p>
      <w:pPr>
        <w:pStyle w:val="ListParagraph"/>
        <w:numPr>
          <w:ilvl w:val="0"/>
          <w:numId w:val="3"/>
        </w:numPr>
        <w:spacing w:after="80"/>
      </w:pPr>
      <w:r>
        <w:t xml:space="preserve">Haz una lista de lo que ya pagas y lo que usas gratis, por área y por persona. </w:t>
      </w:r>
      <w:hyperlink w:history="1" r:id="rIdx3h1xef5nfrc9wq8lqcic">
        <w:r>
          <w:rPr>
            <w:rStyle w:val="Hyperlink"/>
          </w:rPr>
          <w:t xml:space="preserve">Hoja: inventario de IA que ya pagas</w:t>
        </w:r>
      </w:hyperlink>
    </w:p>
    <w:p>
      <w:pPr>
        <w:pStyle w:val="ListParagraph"/>
        <w:numPr>
          <w:ilvl w:val="0"/>
          <w:numId w:val="3"/>
        </w:numPr>
        <w:spacing w:after="80"/>
      </w:pPr>
      <w:r>
        <w:t xml:space="preserve">Antes de cualquier demo, prepara tus preguntas sobre datos, costo total y salida. </w:t>
      </w:r>
      <w:hyperlink w:history="1" r:id="rIdz6h2hjqblq6mfs-hihwj-">
        <w:r>
          <w:rPr>
            <w:rStyle w:val="Hyperlink"/>
          </w:rPr>
          <w:t xml:space="preserve">Hoja: cinco preguntas antes de la demo</w:t>
        </w:r>
      </w:hyperlink>
    </w:p>
    <w:p>
      <w:pPr>
        <w:pStyle w:val="ListParagraph"/>
        <w:numPr>
          <w:ilvl w:val="0"/>
          <w:numId w:val="3"/>
        </w:numPr>
        <w:spacing w:after="80"/>
      </w:pPr>
      <w:r>
        <w:t xml:space="preserve">Empieza por un proceso de administración, atención o agenda, y mide contra una línea base antes de pagar. </w:t>
      </w:r>
      <w:hyperlink w:history="1" r:id="rIdnebtqbx73ejgfesjjn2hk">
        <w:r>
          <w:rPr>
            <w:rStyle w:val="Hyperlink"/>
          </w:rPr>
          <w:t xml:space="preserve">Hoja: línea base, ¿comparado con qué?</w:t>
        </w:r>
      </w:hyperlink>
    </w:p>
    <w:p>
      <w:pPr>
        <w:pStyle w:val="Heading1"/>
      </w:pPr>
      <w:r>
        <w:rPr>
          <w:rFonts w:ascii="Georgia" w:cs="Georgia" w:eastAsia="Georgia" w:hAnsi="Georgia"/>
          <w:color w:val="0B1224"/>
          <w:sz w:val="30"/>
          <w:szCs w:val="30"/>
        </w:rPr>
        <w:t xml:space="preserve">Qué no sabemos</w:t>
      </w:r>
    </w:p>
    <w:p>
      <w:pPr>
        <w:pStyle w:val="ListParagraph"/>
        <w:numPr>
          <w:ilvl w:val="0"/>
          <w:numId w:val="2"/>
        </w:numPr>
        <w:spacing w:after="80"/>
      </w:pPr>
      <w:r>
        <w:t xml:space="preserve">No incluye LatAm; las cifras son de EE. UU., Canadá, Reino Unido y Australia.</w:t>
      </w:r>
    </w:p>
    <w:p>
      <w:pPr>
        <w:pStyle w:val="ListParagraph"/>
        <w:numPr>
          <w:ilvl w:val="0"/>
          <w:numId w:val="2"/>
        </w:numPr>
        <w:spacing w:after="80"/>
      </w:pPr>
      <w:r>
        <w:t xml:space="preserve">Intuit vende software a pymes; los datos de pago solo cubren negocios que usan QuickBooks.</w:t>
      </w:r>
    </w:p>
    <w:p>
      <w:pPr>
        <w:pStyle w:val="ListParagraph"/>
        <w:numPr>
          <w:ilvl w:val="0"/>
          <w:numId w:val="2"/>
        </w:numPr>
        <w:spacing w:after="80"/>
      </w:pPr>
      <w:r>
        <w:t xml:space="preserve">Productividad e ingresos son autorreportados, y el reporte no define con precisión "con regularidad".</w:t>
      </w:r>
    </w:p>
    <w:p>
      <w:pPr>
        <w:pStyle w:val="Heading1"/>
      </w:pPr>
      <w:r>
        <w:rPr>
          <w:rFonts w:ascii="Georgia" w:cs="Georgia" w:eastAsia="Georgia" w:hAnsi="Georgia"/>
          <w:color w:val="0B1224"/>
          <w:sz w:val="30"/>
          <w:szCs w:val="30"/>
        </w:rPr>
        <w:t xml:space="preserve">Si esto se vuelve una decisión grande</w:t>
      </w:r>
    </w:p>
    <w:p>
      <w:pPr>
        <w:spacing w:after="160"/>
      </w:pPr>
      <w:r>
        <w:t xml:space="preserve">Si la decisión es difícil de revertir y lleva tu nombre, las herramientas gratuitas de vicsol.org/es/decision-clarity/ te ayudan a estructurarla. No reemplazan una revisión formal.</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Mesa de Decisiones · vicsol.org/es/recursos/ · Uso libre con atribución.</w:t>
    </w:r>
  </w:p>
  <w:p>
    <w:pPr>
      <w:spacing w:after="40"/>
    </w:pPr>
    <w:r>
      <w:rPr>
        <w:rFonts w:ascii="Inter" w:cs="Inter" w:eastAsia="Inter" w:hAnsi="Inter"/>
        <w:color w:val="4B5563"/>
        <w:sz w:val="15"/>
        <w:szCs w:val="15"/>
      </w:rPr>
      <w:t xml:space="preserve">Resumen independiente de una fuente pública; las cifras pertenecen a su autor. No es asesoría legal, financiera ni de auditoría.</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Mesa de Decisiones</w:t>
    </w:r>
    <w:r>
      <w:rPr>
        <w:rFonts w:ascii="Inter" w:cs="Inter" w:eastAsia="Inter" w:hAnsi="Inter"/>
        <w:color w:val="4B5563"/>
        <w:sz w:val="16"/>
        <w:szCs w:val="16"/>
      </w:rPr>
      <w:t xml:space="preserve">	vicsol.org/es/recursos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x3h1xef5nfrc9wq8lqcic" Type="http://schemas.openxmlformats.org/officeDocument/2006/relationships/hyperlink" Target="https://vicsol.org/es/recursos/inventario-ia-que-ya-pagas/" TargetMode="External"/><Relationship Id="rIdz6h2hjqblq6mfs-hihwj-" Type="http://schemas.openxmlformats.org/officeDocument/2006/relationships/hyperlink" Target="https://vicsol.org/es/recursos/cinco-preguntas-demo/" TargetMode="External"/><Relationship Id="rIdnebtqbx73ejgfesjjn2hk" Type="http://schemas.openxmlformats.org/officeDocument/2006/relationships/hyperlink" Target="https://vicsol.org/es/recursos/linea-base-comparado-con-que/"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 ocho de cada diez pymes dicen usar IA; poco más de una de cada diez paga por ella</dc:title>
  <dc:subject>Hoja de decisión</dc:subject>
  <dc:creator>Vic Sol · Mesa de Decisiones</dc:creator>
  <cp:keywords>Vic Sol, Mesa de Decisiones, decisiones de IA</cp:keywords>
  <dc:description>Casi ocho de cada diez pymes dicen usar IA; poco más de una de cada diez paga por ella</dc:description>
  <cp:lastModifiedBy>Un-named</cp:lastModifiedBy>
  <cp:revision>1</cp:revision>
  <dcterms:created xsi:type="dcterms:W3CDTF">2026-11-03T21:18:50.140Z</dcterms:created>
  <dcterms:modified xsi:type="dcterms:W3CDTF">2026-11-03T21:18:50.140Z</dcterms:modified>
</cp:coreProperties>
</file>

<file path=docProps/custom.xml><?xml version="1.0" encoding="utf-8"?>
<Properties xmlns="http://schemas.openxmlformats.org/officeDocument/2006/custom-properties" xmlns:vt="http://schemas.openxmlformats.org/officeDocument/2006/docPropsVTypes"/>
</file>