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rPr>
          <w:rFonts w:ascii="Georgia" w:cs="Georgia" w:eastAsia="Georgia" w:hAnsi="Georgia"/>
          <w:color w:val="0B1224"/>
          <w:sz w:val="44"/>
          <w:szCs w:val="44"/>
        </w:rPr>
        <w:t xml:space="preserve">Measure this before you automate: compared with what?</w:t>
      </w:r>
    </w:p>
    <w:p>
      <w:pPr>
        <w:pBdr>
          <w:left w:val="single" w:color="9A7B2F" w:sz="18" w:space="12"/>
        </w:pBdr>
        <w:spacing w:after="220" w:before="60"/>
        <w:ind w:left="360"/>
      </w:pPr>
      <w:r>
        <w:rPr>
          <w:i/>
          <w:iCs/>
          <w:color w:val="4B5563"/>
        </w:rPr>
        <w:t xml:space="preserve">For anyone approving an automation who wants to defend the result a month later, with the "before" picture in hand.</w:t>
      </w:r>
    </w:p>
    <w:p>
      <w:pPr>
        <w:pStyle w:val="Heading1"/>
      </w:pPr>
      <w:r>
        <w:rPr>
          <w:rFonts w:ascii="Georgia" w:cs="Georgia" w:eastAsia="Georgia" w:hAnsi="Georgia"/>
          <w:color w:val="0B1224"/>
          <w:sz w:val="30"/>
          <w:szCs w:val="30"/>
        </w:rPr>
        <w:t xml:space="preserve">When to use it</w:t>
      </w:r>
    </w:p>
    <w:p>
      <w:pPr>
        <w:pStyle w:val="ListParagraph"/>
        <w:numPr>
          <w:ilvl w:val="0"/>
          <w:numId w:val="2"/>
        </w:numPr>
        <w:spacing w:after="80"/>
      </w:pPr>
      <w:r>
        <w:t xml:space="preserve">The demo says the AI saves time and nobody has the figure for how long the process takes today.</w:t>
      </w:r>
    </w:p>
    <w:p>
      <w:pPr>
        <w:pStyle w:val="ListParagraph"/>
        <w:numPr>
          <w:ilvl w:val="0"/>
          <w:numId w:val="2"/>
        </w:numPr>
        <w:spacing w:after="80"/>
      </w:pPr>
      <w:r>
        <w:t xml:space="preserve">You are about to approve a pilot and want to know, in a month, whether it saved work or just moved it.</w:t>
      </w:r>
    </w:p>
    <w:p>
      <w:pPr>
        <w:pStyle w:val="ListParagraph"/>
        <w:numPr>
          <w:ilvl w:val="0"/>
          <w:numId w:val="2"/>
        </w:numPr>
        <w:spacing w:after="80"/>
      </w:pPr>
      <w:r>
        <w:t xml:space="preserve">A vendor is already reporting "savings" and you have nothing to argue with.</w:t>
      </w:r>
    </w:p>
    <w:p>
      <w:pPr>
        <w:pStyle w:val="Heading1"/>
      </w:pPr>
      <w:r>
        <w:rPr>
          <w:rFonts w:ascii="Georgia" w:cs="Georgia" w:eastAsia="Georgia" w:hAnsi="Georgia"/>
          <w:color w:val="0B1224"/>
          <w:sz w:val="30"/>
          <w:szCs w:val="30"/>
        </w:rPr>
        <w:t xml:space="preserve">The sheet</w:t>
      </w:r>
    </w:p>
    <w:p>
      <w:pPr>
        <w:spacing w:after="160"/>
      </w:pPr>
      <w:r>
        <w:t xml:space="preserve">The "before" picture. Taking it costs a week, not a project. Fill it before automating and fill it again one month later, with the same numbers.</w:t>
      </w:r>
    </w:p>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744"/>
        <w:gridCol w:w="1209"/>
        <w:gridCol w:w="930"/>
        <w:gridCol w:w="1488"/>
        <w:gridCol w:w="4929"/>
      </w:tblGrid>
      <w:tr>
        <w:trPr>
          <w:cantSplit/>
          <w:tblHeader/>
        </w:trPr>
        <w:tc>
          <w:tcPr>
            <w:tcW w:type="pct" w:w="400"/>
            <w:tcBorders>
              <w:top w:val="single" w:color="D7DAE3" w:sz="4"/>
              <w:left w:val="none" w:color="FFFFFF" w:sz="0"/>
              <w:bottom w:val="single" w:color="0B1224" w:sz="8"/>
              <w:right w:val="none" w:color="FFFFFF" w:sz="0"/>
            </w:tcBorders>
            <w:shd w:fill="EEF0F5" w:val="clear"/>
            <w:tcMar>
              <w:top w:type="dxa" w:w="80"/>
              <w:left w:type="dxa" w:w="100"/>
              <w:bottom w:type="dxa" w:w="80"/>
              <w:right w:type="dxa" w:w="100"/>
            </w:tcMar>
            <w:vAlign w:val="top"/>
          </w:tcPr>
          <w:p>
            <w:pPr>
              <w:spacing w:after="0" w:before="0"/>
            </w:pPr>
            <w:r>
              <w:rPr>
                <w:rFonts w:ascii="Inter" w:cs="Inter" w:eastAsia="Inter" w:hAnsi="Inter"/>
                <w:b/>
                <w:bCs/>
                <w:caps/>
                <w:color w:val="4B5563"/>
                <w:sz w:val="17"/>
                <w:szCs w:val="17"/>
              </w:rPr>
              <w:t xml:space="preserve">#</w:t>
            </w:r>
          </w:p>
        </w:tc>
        <w:tc>
          <w:tcPr>
            <w:tcW w:type="pct" w:w="650"/>
            <w:tcBorders>
              <w:top w:val="single" w:color="D7DAE3" w:sz="4"/>
              <w:left w:val="none" w:color="FFFFFF" w:sz="0"/>
              <w:bottom w:val="single" w:color="0B1224" w:sz="8"/>
              <w:right w:val="none" w:color="FFFFFF" w:sz="0"/>
            </w:tcBorders>
            <w:shd w:fill="EEF0F5" w:val="clear"/>
            <w:tcMar>
              <w:top w:type="dxa" w:w="80"/>
              <w:left w:type="dxa" w:w="100"/>
              <w:bottom w:type="dxa" w:w="80"/>
              <w:right w:type="dxa" w:w="100"/>
            </w:tcMar>
            <w:vAlign w:val="top"/>
          </w:tcPr>
          <w:p>
            <w:pPr>
              <w:spacing w:after="0" w:before="0"/>
            </w:pPr>
            <w:r>
              <w:rPr>
                <w:rFonts w:ascii="Inter" w:cs="Inter" w:eastAsia="Inter" w:hAnsi="Inter"/>
                <w:b/>
                <w:bCs/>
                <w:caps/>
                <w:color w:val="4B5563"/>
                <w:sz w:val="17"/>
                <w:szCs w:val="17"/>
              </w:rPr>
              <w:t xml:space="preserve">Number</w:t>
            </w:r>
          </w:p>
        </w:tc>
        <w:tc>
          <w:tcPr>
            <w:tcW w:type="pct" w:w="500"/>
            <w:tcBorders>
              <w:top w:val="single" w:color="D7DAE3" w:sz="4"/>
              <w:left w:val="none" w:color="FFFFFF" w:sz="0"/>
              <w:bottom w:val="single" w:color="0B1224" w:sz="8"/>
              <w:right w:val="none" w:color="FFFFFF" w:sz="0"/>
            </w:tcBorders>
            <w:shd w:fill="EEF0F5" w:val="clear"/>
            <w:tcMar>
              <w:top w:type="dxa" w:w="80"/>
              <w:left w:type="dxa" w:w="100"/>
              <w:bottom w:type="dxa" w:w="80"/>
              <w:right w:type="dxa" w:w="100"/>
            </w:tcMar>
            <w:vAlign w:val="top"/>
          </w:tcPr>
          <w:p>
            <w:pPr>
              <w:spacing w:after="0" w:before="0"/>
            </w:pPr>
            <w:r>
              <w:rPr>
                <w:rFonts w:ascii="Inter" w:cs="Inter" w:eastAsia="Inter" w:hAnsi="Inter"/>
                <w:b/>
                <w:bCs/>
                <w:caps/>
                <w:color w:val="4B5563"/>
                <w:sz w:val="17"/>
                <w:szCs w:val="17"/>
              </w:rPr>
              <w:t xml:space="preserve">Before (date: ____)</w:t>
            </w:r>
          </w:p>
        </w:tc>
        <w:tc>
          <w:tcPr>
            <w:tcW w:type="pct" w:w="800"/>
            <w:tcBorders>
              <w:top w:val="single" w:color="D7DAE3" w:sz="4"/>
              <w:left w:val="none" w:color="FFFFFF" w:sz="0"/>
              <w:bottom w:val="single" w:color="0B1224" w:sz="8"/>
              <w:right w:val="none" w:color="FFFFFF" w:sz="0"/>
            </w:tcBorders>
            <w:shd w:fill="EEF0F5" w:val="clear"/>
            <w:tcMar>
              <w:top w:type="dxa" w:w="80"/>
              <w:left w:type="dxa" w:w="100"/>
              <w:bottom w:type="dxa" w:w="80"/>
              <w:right w:type="dxa" w:w="100"/>
            </w:tcMar>
            <w:vAlign w:val="top"/>
          </w:tcPr>
          <w:p>
            <w:pPr>
              <w:spacing w:after="0" w:before="0"/>
            </w:pPr>
            <w:r>
              <w:rPr>
                <w:rFonts w:ascii="Inter" w:cs="Inter" w:eastAsia="Inter" w:hAnsi="Inter"/>
                <w:b/>
                <w:bCs/>
                <w:caps/>
                <w:color w:val="4B5563"/>
                <w:sz w:val="17"/>
                <w:szCs w:val="17"/>
              </w:rPr>
              <w:t xml:space="preserve">After, one month (date: ____)</w:t>
            </w:r>
          </w:p>
        </w:tc>
        <w:tc>
          <w:tcPr>
            <w:tcW w:type="pct" w:w="2650"/>
            <w:tcBorders>
              <w:top w:val="single" w:color="D7DAE3" w:sz="4"/>
              <w:left w:val="none" w:color="FFFFFF" w:sz="0"/>
              <w:bottom w:val="single" w:color="0B1224" w:sz="8"/>
              <w:right w:val="none" w:color="FFFFFF" w:sz="0"/>
            </w:tcBorders>
            <w:shd w:fill="EEF0F5" w:val="clear"/>
            <w:tcMar>
              <w:top w:type="dxa" w:w="80"/>
              <w:left w:type="dxa" w:w="100"/>
              <w:bottom w:type="dxa" w:w="80"/>
              <w:right w:type="dxa" w:w="100"/>
            </w:tcMar>
            <w:vAlign w:val="top"/>
          </w:tcPr>
          <w:p>
            <w:pPr>
              <w:spacing w:after="0" w:before="0"/>
            </w:pPr>
            <w:r>
              <w:rPr>
                <w:rFonts w:ascii="Inter" w:cs="Inter" w:eastAsia="Inter" w:hAnsi="Inter"/>
                <w:b/>
                <w:bCs/>
                <w:caps/>
                <w:color w:val="4B5563"/>
                <w:sz w:val="17"/>
                <w:szCs w:val="17"/>
              </w:rPr>
              <w:t xml:space="preserve">How to take it</w:t>
            </w:r>
          </w:p>
        </w:tc>
      </w:tr>
      <w:tr>
        <w:trPr>
          <w:cantSplit/>
        </w:trPr>
        <w:tc>
          <w:tcPr>
            <w:tcW w:type="pct" w:w="400"/>
            <w:tcBorders>
              <w:top w:val="single" w:color="D7DAE3" w:sz="4"/>
              <w:left w:val="none" w:color="FFFFFF" w:sz="0"/>
              <w:bottom w:val="single" w:color="D7DAE3" w:sz="4"/>
              <w:right w:val="none" w:color="FFFFFF" w:sz="0"/>
            </w:tcBorders>
            <w:tcMar>
              <w:top w:type="dxa" w:w="80"/>
              <w:left w:type="dxa" w:w="100"/>
              <w:bottom w:type="dxa" w:w="80"/>
              <w:right w:type="dxa" w:w="100"/>
            </w:tcMar>
            <w:vAlign w:val="top"/>
          </w:tcPr>
          <w:p>
            <w:pPr>
              <w:spacing w:after="0" w:before="0"/>
            </w:pPr>
            <w:r>
              <w:rPr>
                <w:b/>
                <w:bCs/>
                <w:sz w:val="19"/>
                <w:szCs w:val="19"/>
              </w:rPr>
              <w:t xml:space="preserve">1</w:t>
            </w:r>
          </w:p>
        </w:tc>
        <w:tc>
          <w:tcPr>
            <w:tcW w:type="pct" w:w="650"/>
            <w:tcBorders>
              <w:top w:val="single" w:color="D7DAE3" w:sz="4"/>
              <w:left w:val="none" w:color="FFFFFF" w:sz="0"/>
              <w:bottom w:val="single" w:color="D7DAE3" w:sz="4"/>
              <w:right w:val="none" w:color="FFFFFF" w:sz="0"/>
            </w:tcBorders>
            <w:tcMar>
              <w:top w:type="dxa" w:w="80"/>
              <w:left w:type="dxa" w:w="100"/>
              <w:bottom w:type="dxa" w:w="80"/>
              <w:right w:type="dxa" w:w="100"/>
            </w:tcMar>
            <w:vAlign w:val="top"/>
          </w:tcPr>
          <w:p>
            <w:pPr>
              <w:spacing w:after="0" w:before="0"/>
            </w:pPr>
            <w:r>
              <w:rPr>
                <w:sz w:val="19"/>
                <w:szCs w:val="19"/>
              </w:rPr>
              <w:t xml:space="preserve">Volume</w:t>
            </w:r>
          </w:p>
        </w:tc>
        <w:tc>
          <w:tcPr>
            <w:tcW w:type="pct" w:w="500"/>
            <w:tcBorders>
              <w:top w:val="single" w:color="D7DAE3" w:sz="4"/>
              <w:left w:val="none" w:color="FFFFFF" w:sz="0"/>
              <w:bottom w:val="single" w:color="D7DAE3" w:sz="4"/>
              <w:right w:val="none" w:color="FFFFFF" w:sz="0"/>
            </w:tcBorders>
            <w:tcMar>
              <w:top w:type="dxa" w:w="80"/>
              <w:left w:type="dxa" w:w="100"/>
              <w:bottom w:type="dxa" w:w="80"/>
              <w:right w:type="dxa" w:w="100"/>
            </w:tcMar>
            <w:vAlign w:val="top"/>
          </w:tcPr>
          <w:p>
            <w:pPr>
              <w:spacing w:after="0" w:before="0"/>
            </w:pPr>
            <w:r>
              <w:rPr>
                <w:sz w:val="19"/>
                <w:szCs w:val="19"/>
              </w:rPr>
              <w:t xml:space="preserve">____ per week</w:t>
            </w:r>
          </w:p>
        </w:tc>
        <w:tc>
          <w:tcPr>
            <w:tcW w:type="pct" w:w="800"/>
            <w:tcBorders>
              <w:top w:val="single" w:color="D7DAE3" w:sz="4"/>
              <w:left w:val="none" w:color="FFFFFF" w:sz="0"/>
              <w:bottom w:val="single" w:color="D7DAE3" w:sz="4"/>
              <w:right w:val="none" w:color="FFFFFF" w:sz="0"/>
            </w:tcBorders>
            <w:tcMar>
              <w:top w:type="dxa" w:w="80"/>
              <w:left w:type="dxa" w:w="100"/>
              <w:bottom w:type="dxa" w:w="80"/>
              <w:right w:type="dxa" w:w="100"/>
            </w:tcMar>
            <w:vAlign w:val="top"/>
          </w:tcPr>
          <w:p>
            <w:pPr>
              <w:spacing w:after="0" w:before="0"/>
            </w:pPr>
            <w:r>
              <w:rPr>
                <w:sz w:val="19"/>
                <w:szCs w:val="19"/>
              </w:rPr>
              <w:t xml:space="preserve">____ per week</w:t>
            </w:r>
          </w:p>
        </w:tc>
        <w:tc>
          <w:tcPr>
            <w:tcW w:type="pct" w:w="2650"/>
            <w:tcBorders>
              <w:top w:val="single" w:color="D7DAE3" w:sz="4"/>
              <w:left w:val="none" w:color="FFFFFF" w:sz="0"/>
              <w:bottom w:val="single" w:color="D7DAE3" w:sz="4"/>
              <w:right w:val="none" w:color="FFFFFF" w:sz="0"/>
            </w:tcBorders>
            <w:tcMar>
              <w:top w:type="dxa" w:w="80"/>
              <w:left w:type="dxa" w:w="100"/>
              <w:bottom w:type="dxa" w:w="80"/>
              <w:right w:type="dxa" w:w="100"/>
            </w:tcMar>
            <w:vAlign w:val="top"/>
          </w:tcPr>
          <w:p>
            <w:pPr>
              <w:spacing w:after="0" w:before="0"/>
            </w:pPr>
            <w:r>
              <w:rPr>
                <w:sz w:val="19"/>
                <w:szCs w:val="19"/>
              </w:rPr>
              <w:t xml:space="preserve">How many requests, documents or cases come in.</w:t>
            </w:r>
          </w:p>
        </w:tc>
      </w:tr>
      <w:tr>
        <w:trPr>
          <w:cantSplit/>
        </w:trPr>
        <w:tc>
          <w:tcPr>
            <w:tcW w:type="pct" w:w="400"/>
            <w:tcBorders>
              <w:top w:val="single" w:color="D7DAE3" w:sz="4"/>
              <w:left w:val="none" w:color="FFFFFF" w:sz="0"/>
              <w:bottom w:val="single" w:color="D7DAE3" w:sz="4"/>
              <w:right w:val="none" w:color="FFFFFF" w:sz="0"/>
            </w:tcBorders>
            <w:tcMar>
              <w:top w:type="dxa" w:w="80"/>
              <w:left w:type="dxa" w:w="100"/>
              <w:bottom w:type="dxa" w:w="80"/>
              <w:right w:type="dxa" w:w="100"/>
            </w:tcMar>
            <w:vAlign w:val="top"/>
          </w:tcPr>
          <w:p>
            <w:pPr>
              <w:spacing w:after="0" w:before="0"/>
            </w:pPr>
            <w:r>
              <w:rPr>
                <w:b/>
                <w:bCs/>
                <w:sz w:val="19"/>
                <w:szCs w:val="19"/>
              </w:rPr>
              <w:t xml:space="preserve">2</w:t>
            </w:r>
          </w:p>
        </w:tc>
        <w:tc>
          <w:tcPr>
            <w:tcW w:type="pct" w:w="650"/>
            <w:tcBorders>
              <w:top w:val="single" w:color="D7DAE3" w:sz="4"/>
              <w:left w:val="none" w:color="FFFFFF" w:sz="0"/>
              <w:bottom w:val="single" w:color="D7DAE3" w:sz="4"/>
              <w:right w:val="none" w:color="FFFFFF" w:sz="0"/>
            </w:tcBorders>
            <w:tcMar>
              <w:top w:type="dxa" w:w="80"/>
              <w:left w:type="dxa" w:w="100"/>
              <w:bottom w:type="dxa" w:w="80"/>
              <w:right w:type="dxa" w:w="100"/>
            </w:tcMar>
            <w:vAlign w:val="top"/>
          </w:tcPr>
          <w:p>
            <w:pPr>
              <w:spacing w:after="0" w:before="0"/>
            </w:pPr>
            <w:r>
              <w:rPr>
                <w:sz w:val="19"/>
                <w:szCs w:val="19"/>
              </w:rPr>
              <w:t xml:space="preserve">Time per unit, end to end</w:t>
            </w:r>
          </w:p>
        </w:tc>
        <w:tc>
          <w:tcPr>
            <w:tcW w:type="pct" w:w="500"/>
            <w:tcBorders>
              <w:top w:val="single" w:color="D7DAE3" w:sz="4"/>
              <w:left w:val="none" w:color="FFFFFF" w:sz="0"/>
              <w:bottom w:val="single" w:color="D7DAE3" w:sz="4"/>
              <w:right w:val="none" w:color="FFFFFF" w:sz="0"/>
            </w:tcBorders>
            <w:tcMar>
              <w:top w:type="dxa" w:w="80"/>
              <w:left w:type="dxa" w:w="100"/>
              <w:bottom w:type="dxa" w:w="80"/>
              <w:right w:type="dxa" w:w="100"/>
            </w:tcMar>
            <w:vAlign w:val="top"/>
          </w:tcPr>
          <w:p>
            <w:pPr>
              <w:spacing w:after="0" w:before="0"/>
            </w:pPr>
            <w:r>
              <w:rPr>
                <w:sz w:val="19"/>
                <w:szCs w:val="19"/>
              </w:rPr>
              <w:t xml:space="preserve">____</w:t>
            </w:r>
          </w:p>
        </w:tc>
        <w:tc>
          <w:tcPr>
            <w:tcW w:type="pct" w:w="800"/>
            <w:tcBorders>
              <w:top w:val="single" w:color="D7DAE3" w:sz="4"/>
              <w:left w:val="none" w:color="FFFFFF" w:sz="0"/>
              <w:bottom w:val="single" w:color="D7DAE3" w:sz="4"/>
              <w:right w:val="none" w:color="FFFFFF" w:sz="0"/>
            </w:tcBorders>
            <w:tcMar>
              <w:top w:type="dxa" w:w="80"/>
              <w:left w:type="dxa" w:w="100"/>
              <w:bottom w:type="dxa" w:w="80"/>
              <w:right w:type="dxa" w:w="100"/>
            </w:tcMar>
            <w:vAlign w:val="top"/>
          </w:tcPr>
          <w:p>
            <w:pPr>
              <w:spacing w:after="0" w:before="0"/>
            </w:pPr>
            <w:r>
              <w:rPr>
                <w:sz w:val="19"/>
                <w:szCs w:val="19"/>
              </w:rPr>
              <w:t xml:space="preserve">____</w:t>
            </w:r>
          </w:p>
        </w:tc>
        <w:tc>
          <w:tcPr>
            <w:tcW w:type="pct" w:w="2650"/>
            <w:tcBorders>
              <w:top w:val="single" w:color="D7DAE3" w:sz="4"/>
              <w:left w:val="none" w:color="FFFFFF" w:sz="0"/>
              <w:bottom w:val="single" w:color="D7DAE3" w:sz="4"/>
              <w:right w:val="none" w:color="FFFFFF" w:sz="0"/>
            </w:tcBorders>
            <w:tcMar>
              <w:top w:type="dxa" w:w="80"/>
              <w:left w:type="dxa" w:w="100"/>
              <w:bottom w:type="dxa" w:w="80"/>
              <w:right w:type="dxa" w:w="100"/>
            </w:tcMar>
            <w:vAlign w:val="top"/>
          </w:tcPr>
          <w:p>
            <w:pPr>
              <w:spacing w:after="0" w:before="0"/>
            </w:pPr>
            <w:r>
              <w:rPr>
                <w:sz w:val="19"/>
                <w:szCs w:val="19"/>
              </w:rPr>
              <w:t xml:space="preserve">From the moment the request comes in until someone closes it. Time five real cases.</w:t>
            </w:r>
          </w:p>
        </w:tc>
      </w:tr>
      <w:tr>
        <w:trPr>
          <w:cantSplit/>
        </w:trPr>
        <w:tc>
          <w:tcPr>
            <w:tcW w:type="pct" w:w="400"/>
            <w:tcBorders>
              <w:top w:val="single" w:color="D7DAE3" w:sz="4"/>
              <w:left w:val="none" w:color="FFFFFF" w:sz="0"/>
              <w:bottom w:val="single" w:color="D7DAE3" w:sz="4"/>
              <w:right w:val="none" w:color="FFFFFF" w:sz="0"/>
            </w:tcBorders>
            <w:tcMar>
              <w:top w:type="dxa" w:w="80"/>
              <w:left w:type="dxa" w:w="100"/>
              <w:bottom w:type="dxa" w:w="80"/>
              <w:right w:type="dxa" w:w="100"/>
            </w:tcMar>
            <w:vAlign w:val="top"/>
          </w:tcPr>
          <w:p>
            <w:pPr>
              <w:spacing w:after="0" w:before="0"/>
            </w:pPr>
            <w:r>
              <w:rPr>
                <w:b/>
                <w:bCs/>
                <w:sz w:val="19"/>
                <w:szCs w:val="19"/>
              </w:rPr>
              <w:t xml:space="preserve">3</w:t>
            </w:r>
          </w:p>
        </w:tc>
        <w:tc>
          <w:tcPr>
            <w:tcW w:type="pct" w:w="650"/>
            <w:tcBorders>
              <w:top w:val="single" w:color="D7DAE3" w:sz="4"/>
              <w:left w:val="none" w:color="FFFFFF" w:sz="0"/>
              <w:bottom w:val="single" w:color="D7DAE3" w:sz="4"/>
              <w:right w:val="none" w:color="FFFFFF" w:sz="0"/>
            </w:tcBorders>
            <w:tcMar>
              <w:top w:type="dxa" w:w="80"/>
              <w:left w:type="dxa" w:w="100"/>
              <w:bottom w:type="dxa" w:w="80"/>
              <w:right w:type="dxa" w:w="100"/>
            </w:tcMar>
            <w:vAlign w:val="top"/>
          </w:tcPr>
          <w:p>
            <w:pPr>
              <w:spacing w:after="0" w:before="0"/>
            </w:pPr>
            <w:r>
              <w:rPr>
                <w:sz w:val="19"/>
                <w:szCs w:val="19"/>
              </w:rPr>
              <w:t xml:space="preserve">Error rate</w:t>
            </w:r>
          </w:p>
        </w:tc>
        <w:tc>
          <w:tcPr>
            <w:tcW w:type="pct" w:w="500"/>
            <w:tcBorders>
              <w:top w:val="single" w:color="D7DAE3" w:sz="4"/>
              <w:left w:val="none" w:color="FFFFFF" w:sz="0"/>
              <w:bottom w:val="single" w:color="D7DAE3" w:sz="4"/>
              <w:right w:val="none" w:color="FFFFFF" w:sz="0"/>
            </w:tcBorders>
            <w:tcMar>
              <w:top w:type="dxa" w:w="80"/>
              <w:left w:type="dxa" w:w="100"/>
              <w:bottom w:type="dxa" w:w="80"/>
              <w:right w:type="dxa" w:w="100"/>
            </w:tcMar>
            <w:vAlign w:val="top"/>
          </w:tcPr>
          <w:p>
            <w:pPr>
              <w:spacing w:after="0" w:before="0"/>
            </w:pPr>
            <w:r>
              <w:rPr>
                <w:sz w:val="19"/>
                <w:szCs w:val="19"/>
              </w:rPr>
              <w:t xml:space="preserve">____ %</w:t>
            </w:r>
          </w:p>
        </w:tc>
        <w:tc>
          <w:tcPr>
            <w:tcW w:type="pct" w:w="800"/>
            <w:tcBorders>
              <w:top w:val="single" w:color="D7DAE3" w:sz="4"/>
              <w:left w:val="none" w:color="FFFFFF" w:sz="0"/>
              <w:bottom w:val="single" w:color="D7DAE3" w:sz="4"/>
              <w:right w:val="none" w:color="FFFFFF" w:sz="0"/>
            </w:tcBorders>
            <w:tcMar>
              <w:top w:type="dxa" w:w="80"/>
              <w:left w:type="dxa" w:w="100"/>
              <w:bottom w:type="dxa" w:w="80"/>
              <w:right w:type="dxa" w:w="100"/>
            </w:tcMar>
            <w:vAlign w:val="top"/>
          </w:tcPr>
          <w:p>
            <w:pPr>
              <w:spacing w:after="0" w:before="0"/>
            </w:pPr>
            <w:r>
              <w:rPr>
                <w:sz w:val="19"/>
                <w:szCs w:val="19"/>
              </w:rPr>
              <w:t xml:space="preserve">____ %</w:t>
            </w:r>
          </w:p>
        </w:tc>
        <w:tc>
          <w:tcPr>
            <w:tcW w:type="pct" w:w="2650"/>
            <w:tcBorders>
              <w:top w:val="single" w:color="D7DAE3" w:sz="4"/>
              <w:left w:val="none" w:color="FFFFFF" w:sz="0"/>
              <w:bottom w:val="single" w:color="D7DAE3" w:sz="4"/>
              <w:right w:val="none" w:color="FFFFFF" w:sz="0"/>
            </w:tcBorders>
            <w:tcMar>
              <w:top w:type="dxa" w:w="80"/>
              <w:left w:type="dxa" w:w="100"/>
              <w:bottom w:type="dxa" w:w="80"/>
              <w:right w:type="dxa" w:w="100"/>
            </w:tcMar>
            <w:vAlign w:val="top"/>
          </w:tcPr>
          <w:p>
            <w:pPr>
              <w:spacing w:after="0" w:before="0"/>
            </w:pPr>
            <w:r>
              <w:rPr>
                <w:sz w:val="19"/>
                <w:szCs w:val="19"/>
              </w:rPr>
              <w:t xml:space="preserve">Cases returned or disputed over the total.</w:t>
            </w:r>
          </w:p>
        </w:tc>
      </w:tr>
      <w:tr>
        <w:trPr>
          <w:cantSplit/>
        </w:trPr>
        <w:tc>
          <w:tcPr>
            <w:tcW w:type="pct" w:w="400"/>
            <w:tcBorders>
              <w:top w:val="single" w:color="D7DAE3" w:sz="4"/>
              <w:left w:val="none" w:color="FFFFFF" w:sz="0"/>
              <w:bottom w:val="single" w:color="D7DAE3" w:sz="4"/>
              <w:right w:val="none" w:color="FFFFFF" w:sz="0"/>
            </w:tcBorders>
            <w:tcMar>
              <w:top w:type="dxa" w:w="80"/>
              <w:left w:type="dxa" w:w="100"/>
              <w:bottom w:type="dxa" w:w="80"/>
              <w:right w:type="dxa" w:w="100"/>
            </w:tcMar>
            <w:vAlign w:val="top"/>
          </w:tcPr>
          <w:p>
            <w:pPr>
              <w:spacing w:after="0" w:before="0"/>
            </w:pPr>
            <w:r>
              <w:rPr>
                <w:b/>
                <w:bCs/>
                <w:sz w:val="19"/>
                <w:szCs w:val="19"/>
              </w:rPr>
              <w:t xml:space="preserve">4</w:t>
            </w:r>
          </w:p>
        </w:tc>
        <w:tc>
          <w:tcPr>
            <w:tcW w:type="pct" w:w="650"/>
            <w:tcBorders>
              <w:top w:val="single" w:color="D7DAE3" w:sz="4"/>
              <w:left w:val="none" w:color="FFFFFF" w:sz="0"/>
              <w:bottom w:val="single" w:color="D7DAE3" w:sz="4"/>
              <w:right w:val="none" w:color="FFFFFF" w:sz="0"/>
            </w:tcBorders>
            <w:tcMar>
              <w:top w:type="dxa" w:w="80"/>
              <w:left w:type="dxa" w:w="100"/>
              <w:bottom w:type="dxa" w:w="80"/>
              <w:right w:type="dxa" w:w="100"/>
            </w:tcMar>
            <w:vAlign w:val="top"/>
          </w:tcPr>
          <w:p>
            <w:pPr>
              <w:spacing w:after="0" w:before="0"/>
            </w:pPr>
            <w:r>
              <w:rPr>
                <w:sz w:val="19"/>
                <w:szCs w:val="19"/>
              </w:rPr>
              <w:t xml:space="preserve">Rework</w:t>
            </w:r>
          </w:p>
        </w:tc>
        <w:tc>
          <w:tcPr>
            <w:tcW w:type="pct" w:w="500"/>
            <w:tcBorders>
              <w:top w:val="single" w:color="D7DAE3" w:sz="4"/>
              <w:left w:val="none" w:color="FFFFFF" w:sz="0"/>
              <w:bottom w:val="single" w:color="D7DAE3" w:sz="4"/>
              <w:right w:val="none" w:color="FFFFFF" w:sz="0"/>
            </w:tcBorders>
            <w:tcMar>
              <w:top w:type="dxa" w:w="80"/>
              <w:left w:type="dxa" w:w="100"/>
              <w:bottom w:type="dxa" w:w="80"/>
              <w:right w:type="dxa" w:w="100"/>
            </w:tcMar>
            <w:vAlign w:val="top"/>
          </w:tcPr>
          <w:p>
            <w:pPr>
              <w:spacing w:after="0" w:before="0"/>
            </w:pPr>
            <w:r>
              <w:rPr>
                <w:sz w:val="19"/>
                <w:szCs w:val="19"/>
              </w:rPr>
              <w:t xml:space="preserve">____ times</w:t>
            </w:r>
          </w:p>
        </w:tc>
        <w:tc>
          <w:tcPr>
            <w:tcW w:type="pct" w:w="800"/>
            <w:tcBorders>
              <w:top w:val="single" w:color="D7DAE3" w:sz="4"/>
              <w:left w:val="none" w:color="FFFFFF" w:sz="0"/>
              <w:bottom w:val="single" w:color="D7DAE3" w:sz="4"/>
              <w:right w:val="none" w:color="FFFFFF" w:sz="0"/>
            </w:tcBorders>
            <w:tcMar>
              <w:top w:type="dxa" w:w="80"/>
              <w:left w:type="dxa" w:w="100"/>
              <w:bottom w:type="dxa" w:w="80"/>
              <w:right w:type="dxa" w:w="100"/>
            </w:tcMar>
            <w:vAlign w:val="top"/>
          </w:tcPr>
          <w:p>
            <w:pPr>
              <w:spacing w:after="0" w:before="0"/>
            </w:pPr>
            <w:r>
              <w:rPr>
                <w:sz w:val="19"/>
                <w:szCs w:val="19"/>
              </w:rPr>
              <w:t xml:space="preserve">____ times</w:t>
            </w:r>
          </w:p>
        </w:tc>
        <w:tc>
          <w:tcPr>
            <w:tcW w:type="pct" w:w="2650"/>
            <w:tcBorders>
              <w:top w:val="single" w:color="D7DAE3" w:sz="4"/>
              <w:left w:val="none" w:color="FFFFFF" w:sz="0"/>
              <w:bottom w:val="single" w:color="D7DAE3" w:sz="4"/>
              <w:right w:val="none" w:color="FFFFFF" w:sz="0"/>
            </w:tcBorders>
            <w:tcMar>
              <w:top w:type="dxa" w:w="80"/>
              <w:left w:type="dxa" w:w="100"/>
              <w:bottom w:type="dxa" w:w="80"/>
              <w:right w:type="dxa" w:w="100"/>
            </w:tcMar>
            <w:vAlign w:val="top"/>
          </w:tcPr>
          <w:p>
            <w:pPr>
              <w:spacing w:after="0" w:before="0"/>
            </w:pPr>
            <w:r>
              <w:rPr>
                <w:sz w:val="19"/>
                <w:szCs w:val="19"/>
              </w:rPr>
              <w:t xml:space="preserve">How many times the same document gets corrected. Ask the person who does it, not the system.</w:t>
            </w:r>
          </w:p>
        </w:tc>
      </w:tr>
      <w:tr>
        <w:trPr>
          <w:cantSplit/>
        </w:trPr>
        <w:tc>
          <w:tcPr>
            <w:tcW w:type="pct" w:w="400"/>
            <w:tcBorders>
              <w:top w:val="single" w:color="D7DAE3" w:sz="4"/>
              <w:left w:val="none" w:color="FFFFFF" w:sz="0"/>
              <w:bottom w:val="single" w:color="D7DAE3" w:sz="4"/>
              <w:right w:val="none" w:color="FFFFFF" w:sz="0"/>
            </w:tcBorders>
            <w:tcMar>
              <w:top w:type="dxa" w:w="80"/>
              <w:left w:type="dxa" w:w="100"/>
              <w:bottom w:type="dxa" w:w="80"/>
              <w:right w:type="dxa" w:w="100"/>
            </w:tcMar>
            <w:vAlign w:val="top"/>
          </w:tcPr>
          <w:p>
            <w:pPr>
              <w:spacing w:after="0" w:before="0"/>
            </w:pPr>
            <w:r>
              <w:rPr>
                <w:b/>
                <w:bCs/>
                <w:sz w:val="19"/>
                <w:szCs w:val="19"/>
              </w:rPr>
              <w:t xml:space="preserve">5</w:t>
            </w:r>
          </w:p>
        </w:tc>
        <w:tc>
          <w:tcPr>
            <w:tcW w:type="pct" w:w="650"/>
            <w:tcBorders>
              <w:top w:val="single" w:color="D7DAE3" w:sz="4"/>
              <w:left w:val="none" w:color="FFFFFF" w:sz="0"/>
              <w:bottom w:val="single" w:color="D7DAE3" w:sz="4"/>
              <w:right w:val="none" w:color="FFFFFF" w:sz="0"/>
            </w:tcBorders>
            <w:tcMar>
              <w:top w:type="dxa" w:w="80"/>
              <w:left w:type="dxa" w:w="100"/>
              <w:bottom w:type="dxa" w:w="80"/>
              <w:right w:type="dxa" w:w="100"/>
            </w:tcMar>
            <w:vAlign w:val="top"/>
          </w:tcPr>
          <w:p>
            <w:pPr>
              <w:spacing w:after="0" w:before="0"/>
            </w:pPr>
            <w:r>
              <w:rPr>
                <w:sz w:val="19"/>
                <w:szCs w:val="19"/>
              </w:rPr>
              <w:t xml:space="preserve">Review time</w:t>
            </w:r>
          </w:p>
        </w:tc>
        <w:tc>
          <w:tcPr>
            <w:tcW w:type="pct" w:w="500"/>
            <w:tcBorders>
              <w:top w:val="single" w:color="D7DAE3" w:sz="4"/>
              <w:left w:val="none" w:color="FFFFFF" w:sz="0"/>
              <w:bottom w:val="single" w:color="D7DAE3" w:sz="4"/>
              <w:right w:val="none" w:color="FFFFFF" w:sz="0"/>
            </w:tcBorders>
            <w:tcMar>
              <w:top w:type="dxa" w:w="80"/>
              <w:left w:type="dxa" w:w="100"/>
              <w:bottom w:type="dxa" w:w="80"/>
              <w:right w:type="dxa" w:w="100"/>
            </w:tcMar>
            <w:vAlign w:val="top"/>
          </w:tcPr>
          <w:p>
            <w:pPr>
              <w:spacing w:after="0" w:before="0"/>
            </w:pPr>
            <w:r>
              <w:rPr>
                <w:sz w:val="19"/>
                <w:szCs w:val="19"/>
              </w:rPr>
              <w:t xml:space="preserve">____ per unit</w:t>
            </w:r>
          </w:p>
        </w:tc>
        <w:tc>
          <w:tcPr>
            <w:tcW w:type="pct" w:w="800"/>
            <w:tcBorders>
              <w:top w:val="single" w:color="D7DAE3" w:sz="4"/>
              <w:left w:val="none" w:color="FFFFFF" w:sz="0"/>
              <w:bottom w:val="single" w:color="D7DAE3" w:sz="4"/>
              <w:right w:val="none" w:color="FFFFFF" w:sz="0"/>
            </w:tcBorders>
            <w:tcMar>
              <w:top w:type="dxa" w:w="80"/>
              <w:left w:type="dxa" w:w="100"/>
              <w:bottom w:type="dxa" w:w="80"/>
              <w:right w:type="dxa" w:w="100"/>
            </w:tcMar>
            <w:vAlign w:val="top"/>
          </w:tcPr>
          <w:p>
            <w:pPr>
              <w:spacing w:after="0" w:before="0"/>
            </w:pPr>
            <w:r>
              <w:rPr>
                <w:sz w:val="19"/>
                <w:szCs w:val="19"/>
              </w:rPr>
              <w:t xml:space="preserve">____ per unit</w:t>
            </w:r>
          </w:p>
        </w:tc>
        <w:tc>
          <w:tcPr>
            <w:tcW w:type="pct" w:w="2650"/>
            <w:tcBorders>
              <w:top w:val="single" w:color="D7DAE3" w:sz="4"/>
              <w:left w:val="none" w:color="FFFFFF" w:sz="0"/>
              <w:bottom w:val="single" w:color="D7DAE3" w:sz="4"/>
              <w:right w:val="none" w:color="FFFFFF" w:sz="0"/>
            </w:tcBorders>
            <w:tcMar>
              <w:top w:type="dxa" w:w="80"/>
              <w:left w:type="dxa" w:w="100"/>
              <w:bottom w:type="dxa" w:w="80"/>
              <w:right w:type="dxa" w:w="100"/>
            </w:tcMar>
            <w:vAlign w:val="top"/>
          </w:tcPr>
          <w:p>
            <w:pPr>
              <w:spacing w:after="0" w:before="0"/>
            </w:pPr>
            <w:r>
              <w:rPr>
                <w:sz w:val="19"/>
                <w:szCs w:val="19"/>
              </w:rPr>
              <w:t xml:space="preserve">The one nobody measures: how long goes into reviewing what came out, before and after the AI.</w:t>
            </w:r>
          </w:p>
        </w:tc>
      </w:tr>
    </w:tbl>
    <w:p>
      <w:pPr>
        <w:spacing w:after="120"/>
      </w:pPr>
    </w:p>
    <w:p>
      <w:pPr>
        <w:spacing w:after="160"/>
      </w:pPr>
      <w:r>
        <w:t xml:space="preserve">Illustrative example: service quote · before: 20 per week, 3 days, 10%, 2 corrections, 15 minutes of review · after: 20, 1 day, 8%, 1 correction, 40 minutes of review.</w:t>
      </w:r>
    </w:p>
    <w:p>
      <w:pPr>
        <w:spacing w:after="160"/>
      </w:pPr>
      <w:r>
        <w:t xml:space="preserve">Process: ____________ · Who does it today: ____________ · Who takes the "after" picture: ____________</w:t>
      </w:r>
    </w:p>
    <w:p>
      <w:pPr>
        <w:pStyle w:val="Heading1"/>
      </w:pPr>
      <w:r>
        <w:rPr>
          <w:rFonts w:ascii="Georgia" w:cs="Georgia" w:eastAsia="Georgia" w:hAnsi="Georgia"/>
          <w:color w:val="0B1224"/>
          <w:sz w:val="30"/>
          <w:szCs w:val="30"/>
        </w:rPr>
        <w:t xml:space="preserve">How to fill it in 10 minutes</w:t>
      </w:r>
    </w:p>
    <w:p>
      <w:pPr>
        <w:pStyle w:val="ListParagraph"/>
        <w:numPr>
          <w:ilvl w:val="0"/>
          <w:numId w:val="3"/>
        </w:numPr>
        <w:spacing w:after="80"/>
      </w:pPr>
      <w:r>
        <w:t xml:space="preserve">Pick a single process, the one about to be automated. Do not measure the whole department.</w:t>
      </w:r>
    </w:p>
    <w:p>
      <w:pPr>
        <w:pStyle w:val="ListParagraph"/>
        <w:numPr>
          <w:ilvl w:val="0"/>
          <w:numId w:val="3"/>
        </w:numPr>
        <w:spacing w:after="80"/>
      </w:pPr>
      <w:r>
        <w:t xml:space="preserve">Fill volume from the system and the other four numbers from the person who does the work. The system does not know how many times a document was corrected.</w:t>
      </w:r>
    </w:p>
    <w:p>
      <w:pPr>
        <w:pStyle w:val="ListParagraph"/>
        <w:numPr>
          <w:ilvl w:val="0"/>
          <w:numId w:val="3"/>
        </w:numPr>
        <w:spacing w:after="80"/>
      </w:pPr>
      <w:r>
        <w:t xml:space="preserve">Write down the date of the "before" picture and book the "after" one for a month later, with a name attached.</w:t>
      </w:r>
    </w:p>
    <w:p>
      <w:pPr>
        <w:pStyle w:val="ListParagraph"/>
        <w:numPr>
          <w:ilvl w:val="0"/>
          <w:numId w:val="3"/>
        </w:numPr>
        <w:spacing w:after="80"/>
      </w:pPr>
      <w:r>
        <w:t xml:space="preserve">Leave row 5 for last and give it twice the time. It is the one that stays empty.</w:t>
      </w:r>
    </w:p>
    <w:p>
      <w:pPr>
        <w:pStyle w:val="ListParagraph"/>
        <w:numPr>
          <w:ilvl w:val="0"/>
          <w:numId w:val="3"/>
        </w:numPr>
        <w:spacing w:after="80"/>
      </w:pPr>
      <w:r>
        <w:t xml:space="preserve">The most common mistake: measuring only the time to do and forgetting the time to review. AI tends to move work from doing to reviewing; without measuring review, the savings get inflated.</w:t>
      </w:r>
    </w:p>
    <w:p>
      <w:pPr>
        <w:pStyle w:val="Heading1"/>
      </w:pPr>
      <w:r>
        <w:rPr>
          <w:rFonts w:ascii="Georgia" w:cs="Georgia" w:eastAsia="Georgia" w:hAnsi="Georgia"/>
          <w:color w:val="0B1224"/>
          <w:sz w:val="30"/>
          <w:szCs w:val="30"/>
        </w:rPr>
        <w:t xml:space="preserve">The line that is almost always missing</w:t>
      </w:r>
    </w:p>
    <w:p>
      <w:pPr>
        <w:spacing w:after="160"/>
      </w:pPr>
      <w:r>
        <w:t xml:space="preserve">Review time after the AI. In the illustrative example above, the process dropped from three days to one, and review rose from fifteen to forty minutes per unit. Without row 5, the report says "we saved two days". With row 5, the right question shows up on its own: how much of that saving went into reviewing? With the full "before" picture, the vendor no longer wins the argument for lack of data.</w:t>
      </w:r>
    </w:p>
    <w:p>
      <w:pPr>
        <w:pStyle w:val="Heading1"/>
      </w:pPr>
      <w:r>
        <w:rPr>
          <w:rFonts w:ascii="Georgia" w:cs="Georgia" w:eastAsia="Georgia" w:hAnsi="Georgia"/>
          <w:color w:val="0B1224"/>
          <w:sz w:val="30"/>
          <w:szCs w:val="30"/>
        </w:rPr>
        <w:t xml:space="preserve">If this becomes a big decision</w:t>
      </w:r>
    </w:p>
    <w:p>
      <w:pPr>
        <w:spacing w:after="160"/>
      </w:pPr>
      <w:r>
        <w:t xml:space="preserve">If the automation is hard to reverse and carries your name, the free tools at vicsol.org/decision-clarity/ help you structure it. They do not replace a formal review.</w:t>
      </w:r>
    </w:p>
    <w:sectPr>
      <w:headerReference w:type="default" r:id="rId6"/>
      <w:footerReference w:type="default" r:id="rId7"/>
      <w:pgSz w:w="11906" w:h="16838" w:orient="portrait"/>
      <w:pgMar w:top="1300" w:right="1250" w:bottom="1500" w:left="1250" w:header="560" w:footer="52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40"/>
    </w:pPr>
    <w:r>
      <w:rPr>
        <w:rFonts w:ascii="Inter" w:cs="Inter" w:eastAsia="Inter" w:hAnsi="Inter"/>
        <w:color w:val="4B5563"/>
        <w:sz w:val="15"/>
        <w:szCs w:val="15"/>
      </w:rPr>
      <w:t xml:space="preserve">Vic Sol · Decision Desk · vicsol.org/resources/ · Free to use with attribution.</w:t>
    </w:r>
  </w:p>
  <w:p>
    <w:pPr>
      <w:spacing w:after="40"/>
    </w:pPr>
    <w:r>
      <w:rPr>
        <w:rFonts w:ascii="Inter" w:cs="Inter" w:eastAsia="Inter" w:hAnsi="Inter"/>
        <w:color w:val="4B5563"/>
        <w:sz w:val="15"/>
        <w:szCs w:val="15"/>
      </w:rPr>
      <w:t xml:space="preserve">This sheet structures a conversation; it is not legal, financial or audit advice.</w:t>
    </w:r>
  </w:p>
  <w:p>
    <w:pPr>
      <w:jc w:val="right"/>
    </w:pPr>
    <w:r>
      <w:rPr>
        <w:rFonts w:ascii="Inter" w:cs="Inter" w:eastAsia="Inter" w:hAnsi="Inter"/>
        <w:color w:val="4B5563"/>
        <w:sz w:val="15"/>
        <w:szCs w:val="15"/>
      </w:rPr>
      <w:fldChar w:fldCharType="begin"/>
    </w:r>
    <w:r>
      <w:rPr>
        <w:rFonts w:ascii="Inter" w:cs="Inter" w:eastAsia="Inter" w:hAnsi="Inter"/>
        <w:color w:val="4B5563"/>
        <w:sz w:val="15"/>
        <w:szCs w:val="15"/>
      </w:rPr>
      <w:instrText xml:space="preserve">PAGE</w:instrText>
    </w:r>
    <w:r>
      <w:rPr>
        <w:rFonts w:ascii="Inter" w:cs="Inter" w:eastAsia="Inter" w:hAnsi="Inter"/>
        <w:color w:val="4B5563"/>
        <w:sz w:val="15"/>
        <w:szCs w:val="15"/>
      </w:rPr>
      <w:fldChar w:fldCharType="separate"/>
    </w:r>
    <w:r>
      <w:rPr>
        <w:rFonts w:ascii="Inter" w:cs="Inter" w:eastAsia="Inter" w:hAnsi="Inter"/>
        <w:color w:val="4B5563"/>
        <w:sz w:val="15"/>
        <w:szCs w:val="15"/>
      </w:rPr>
      <w:fldChar w:fldCharType="end"/>
    </w:r>
    <w:r>
      <w:rPr>
        <w:rFonts w:ascii="Inter" w:cs="Inter" w:eastAsia="Inter" w:hAnsi="Inter"/>
        <w:color w:val="4B5563"/>
        <w:sz w:val="15"/>
        <w:szCs w:val="15"/>
      </w:rPr>
      <w:t xml:space="preserve"> / </w:t>
    </w:r>
    <w:r>
      <w:rPr>
        <w:rFonts w:ascii="Inter" w:cs="Inter" w:eastAsia="Inter" w:hAnsi="Inter"/>
        <w:color w:val="4B5563"/>
        <w:sz w:val="15"/>
        <w:szCs w:val="15"/>
      </w:rPr>
      <w:fldChar w:fldCharType="begin"/>
    </w:r>
    <w:r>
      <w:rPr>
        <w:rFonts w:ascii="Inter" w:cs="Inter" w:eastAsia="Inter" w:hAnsi="Inter"/>
        <w:color w:val="4B5563"/>
        <w:sz w:val="15"/>
        <w:szCs w:val="15"/>
      </w:rPr>
      <w:instrText xml:space="preserve">NUMPAGES</w:instrText>
    </w:r>
    <w:r>
      <w:rPr>
        <w:rFonts w:ascii="Inter" w:cs="Inter" w:eastAsia="Inter" w:hAnsi="Inter"/>
        <w:color w:val="4B5563"/>
        <w:sz w:val="15"/>
        <w:szCs w:val="15"/>
      </w:rPr>
      <w:fldChar w:fldCharType="separate"/>
    </w:r>
    <w:r>
      <w:rPr>
        <w:rFonts w:ascii="Inter" w:cs="Inter" w:eastAsia="Inter" w:hAnsi="Inter"/>
        <w:color w:val="4B5563"/>
        <w:sz w:val="15"/>
        <w:szCs w:val="15"/>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7DAE3" w:sz="4" w:space="4"/>
      </w:pBdr>
      <w:tabs>
        <w:tab w:val="right" w:pos="9000"/>
      </w:tabs>
    </w:pPr>
    <w:r>
      <w:rPr>
        <w:rFonts w:ascii="Inter" w:cs="Inter" w:eastAsia="Inter" w:hAnsi="Inter"/>
        <w:b/>
        <w:bCs/>
        <w:caps/>
        <w:color w:val="9A7B2F"/>
        <w:spacing w:val="20"/>
        <w:sz w:val="16"/>
        <w:szCs w:val="16"/>
      </w:rPr>
      <w:t xml:space="preserve">Vic Sol · Decision Desk</w:t>
    </w:r>
    <w:r>
      <w:rPr>
        <w:rFonts w:ascii="Inter" w:cs="Inter" w:eastAsia="Inter" w:hAnsi="Inter"/>
        <w:color w:val="4B5563"/>
        <w:sz w:val="16"/>
        <w:szCs w:val="16"/>
      </w:rPr>
      <w:t xml:space="preserve">	vicsol.org/resources · 2026-10-19</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500" w:hanging="260"/>
      </w:pPr>
      <w:rPr>
        <w:color w:val="9A7B2F"/>
      </w:rPr>
    </w:lvl>
  </w:abstractNum>
  <w:abstractNum w:abstractNumId="3" w15:restartNumberingAfterBreak="0">
    <w:multiLevelType w:val="hybridMultilevel"/>
    <w:lvl w:ilvl="0" w:tentative="1">
      <w:start w:val="1"/>
      <w:numFmt w:val="decimal"/>
      <w:lvlText w:val="%1."/>
      <w:lvlJc w:val="left"/>
      <w:pPr>
        <w:ind w:left="500" w:hanging="300"/>
      </w:pPr>
      <w:rPr>
        <w:b/>
        <w:bCs/>
        <w:color w:val="9A7B2F"/>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Inter" w:cs="Inter" w:eastAsia="Inter" w:hAnsi="Inter"/>
        <w:color w:val="0B1224"/>
        <w:sz w:val="21"/>
        <w:szCs w:val="21"/>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3730A3"/>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next w:val="Normal"/>
    <w:pPr>
      <w:spacing w:after="200" w:before="0" w:line="264"/>
    </w:pPr>
    <w:rPr>
      <w:rFonts w:ascii="Georgia" w:cs="Georgia" w:eastAsia="Georgia" w:hAnsi="Georgia"/>
      <w:color w:val="0B1224"/>
      <w:sz w:val="44"/>
      <w:szCs w:val="44"/>
    </w:rPr>
  </w:style>
  <w:style w:type="paragraph" w:styleId="Heading1">
    <w:name w:val="Heading 1"/>
    <w:basedOn w:val="Normal"/>
    <w:next w:val="Normal"/>
    <w:qFormat/>
    <w:pPr>
      <w:keepNext/>
      <w:pBdr>
        <w:top w:val="single" w:color="D7DAE3" w:sz="4" w:space="8"/>
      </w:pBdr>
      <w:spacing w:after="120" w:before="360"/>
    </w:pPr>
    <w:rPr>
      <w:rFonts w:ascii="Georgia" w:cs="Georgia" w:eastAsia="Georgia" w:hAnsi="Georgia"/>
      <w:color w:val="0B1224"/>
      <w:sz w:val="30"/>
      <w:szCs w:val="30"/>
    </w:rPr>
  </w:style>
  <w:style w:type="paragraph" w:styleId="Heading2">
    <w:name w:val="Heading 2"/>
    <w:basedOn w:val="Normal"/>
    <w:next w:val="Normal"/>
    <w:qFormat/>
    <w:pPr>
      <w:keepNext/>
      <w:spacing w:after="80" w:before="240"/>
    </w:pPr>
    <w:rPr>
      <w:rFonts w:ascii="Georgia" w:cs="Georgia" w:eastAsia="Georgia" w:hAnsi="Georgia"/>
      <w:color w:val="0B1224"/>
      <w:sz w:val="24"/>
      <w:szCs w:val="24"/>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Measure this before you automate: compared with what?</dc:title>
  <dc:subject>Decision sheet</dc:subject>
  <dc:creator>Vic Sol · Decision Desk</dc:creator>
  <cp:keywords>Vic Sol, Decision Desk, AI decisions</cp:keywords>
  <dc:description>Measure this before you automate: compared with what?</dc:description>
  <cp:lastModifiedBy>Un-named</cp:lastModifiedBy>
  <cp:revision>1</cp:revision>
  <dcterms:created xsi:type="dcterms:W3CDTF">2026-11-03T21:18:50.292Z</dcterms:created>
  <dcterms:modified xsi:type="dcterms:W3CDTF">2026-11-03T21:18:50.292Z</dcterms:modified>
</cp:coreProperties>
</file>

<file path=docProps/custom.xml><?xml version="1.0" encoding="utf-8"?>
<Properties xmlns="http://schemas.openxmlformats.org/officeDocument/2006/custom-properties" xmlns:vt="http://schemas.openxmlformats.org/officeDocument/2006/docPropsVTypes"/>
</file>