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0B1224"/>
          <w:sz w:val="44"/>
          <w:szCs w:val="44"/>
        </w:rPr>
        <w:t xml:space="preserve">Qué caso de uso de IA va primero: valor, facilidad y riesgo en una tabla</w:t>
      </w:r>
    </w:p>
    <w:p>
      <w:pPr>
        <w:pBdr>
          <w:left w:val="single" w:color="9A7B2F" w:sz="18" w:space="12"/>
        </w:pBdr>
        <w:spacing w:after="220" w:before="60"/>
        <w:ind w:left="360"/>
      </w:pPr>
      <w:r>
        <w:rPr>
          <w:i/>
          <w:iCs/>
          <w:color w:val="4B5563"/>
        </w:rPr>
        <w:t xml:space="preserve">Para gerentes que tienen una lista de ideas de IA y necesitan defender cuál arranca primero con un criterio que otros puedan revisar.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Cuándo usarla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Tu equipo juntó diez ideas de IA y cada quien defiende la suya.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Dirección te pide "un piloto" y tienes que explicar por qué ese y no otro.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Ya arrancaron dos pilotos al mismo tiempo y ninguno tiene cómo medirse.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hoja</w:t>
      </w:r>
    </w:p>
    <w:p>
      <w:pPr>
        <w:spacing w:after="160"/>
      </w:pPr>
      <w:r>
        <w:t xml:space="preserve">Califica de 1 a 5 cada criterio. En riesgo inverso, 5 significa riesgo bajo. Ajusta los pesos si tu comité lo pide, pero escríbelos antes de calificar.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44"/>
        <w:gridCol w:w="1302"/>
        <w:gridCol w:w="1767"/>
        <w:gridCol w:w="930"/>
        <w:gridCol w:w="1209"/>
        <w:gridCol w:w="837"/>
        <w:gridCol w:w="1302"/>
        <w:gridCol w:w="1209"/>
      </w:tblGrid>
      <w:tr>
        <w:trPr>
          <w:cantSplit/>
          <w:tblHeader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Caso de uso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Valor para el negocio (×3)</w:t>
            </w:r>
          </w:p>
        </w:tc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Facilidad / datos disponibles (×2)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Riesgo inverso (×2)</w:t>
            </w:r>
          </w:p>
        </w:tc>
        <w:tc>
          <w:tcPr>
            <w:tcW w:type="pct" w:w="6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Medible en 90 días (×2)</w:t>
            </w:r>
          </w:p>
        </w:tc>
        <w:tc>
          <w:tcPr>
            <w:tcW w:type="pct" w:w="4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Dueño con nombre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Línea base existe (sí/no)</w:t>
            </w:r>
          </w:p>
        </w:tc>
        <w:tc>
          <w:tcPr>
            <w:tcW w:type="pct" w:w="6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Total ponderado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[Caso 1]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[1–5]</w:t>
            </w:r>
          </w:p>
        </w:tc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[1–5]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[1–5]</w:t>
            </w:r>
          </w:p>
        </w:tc>
        <w:tc>
          <w:tcPr>
            <w:tcW w:type="pct" w:w="6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[1–5]</w:t>
            </w:r>
          </w:p>
        </w:tc>
        <w:tc>
          <w:tcPr>
            <w:tcW w:type="pct" w:w="4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[nombre]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6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[suma]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[Caso 2]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6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4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6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[Caso 3]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6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4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6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[Caso 4]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6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4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6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[Caso 5]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6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4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6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</w:tr>
    </w:tbl>
    <w:p>
      <w:pPr>
        <w:spacing w:after="120"/>
      </w:pPr>
    </w:p>
    <w:p>
      <w:pPr>
        <w:spacing w:after="160"/>
      </w:pPr>
      <w:r>
        <w:t xml:space="preserve">Total ponderado = valor × 3 + facilidad × 2 + riesgo inverso × 2 + medible × 2. Máximo: 45.</w:t>
      </w:r>
    </w:p>
    <w:p>
      <w:pPr>
        <w:spacing w:after="160"/>
      </w:pPr>
      <w:r>
        <w:t xml:space="preserve">Qué significa cada criterio: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Valor para el negocio:</w:t>
      </w:r>
      <w:r>
        <w:t xml:space="preserve"> qué indicador del área mueve y cuánto pesa ese indicador en tus objetivos.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Facilidad / datos disponibles:</w:t>
      </w:r>
      <w:r>
        <w:t xml:space="preserve"> si los datos existen, están limpios y se pueden usar sin un proyecto aparte.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Riesgo inverso:</w:t>
      </w:r>
      <w:r>
        <w:t xml:space="preserve"> qué tan grave es un error. Algo interno y revisable puntúa alto; algo que llega al cliente sin revisión, bajo.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Medible en 90 días:</w:t>
      </w:r>
      <w:r>
        <w:t xml:space="preserve"> si en tres meses puedes comparar un número de antes con uno de después.</w:t>
      </w:r>
    </w:p>
    <w:p>
      <w:pPr>
        <w:spacing w:after="160"/>
      </w:pPr>
      <w:r>
        <w:t xml:space="preserve">Ejemplo ilustrativo: "Clasificar correos de soporte: valor 4, facilidad 4, riesgo inverso 4, medible 5. Total 38. Dueño: líder de soporte. Línea base: sí."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Cómo llenarla en 30 minutos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Escribe los casos como acciones concretas: "resumir contratos de proveedores", no "IA para legal".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Fija los pesos antes de ver las calificaciones. Cambiarlos después para que gane tu favorito es el error más común.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Califica con al menos dos personas y discute solo las diferencias de dos puntos o más.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Llena dueño y línea base antes de sumar. Si alguno falta, el caso sale del ranking.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Ordena por total y elige uno. El segundo espera a que el primero tenga resultado.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línea que casi siempre falta</w:t>
      </w:r>
    </w:p>
    <w:p>
      <w:pPr>
        <w:spacing w:after="160"/>
      </w:pPr>
      <w:r>
        <w:t xml:space="preserve">Un caso de uso sin dueño con nombre o sin línea base no entra al ranking, sin importar su puntaje. Un 42 sin dueño no avanza, y uno sin número de antes no se puede evaluar en 90 días. Es mejor arrancar con un 34 que sí tiene ambos.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Si esto se vuelve una decisión grande</w:t>
      </w:r>
    </w:p>
    <w:p>
      <w:pPr>
        <w:spacing w:after="160"/>
      </w:pPr>
      <w:r>
        <w:t xml:space="preserve">Si el caso elegido compromete presupuesto, datos sensibles o un proceso de cara al cliente y lleva tu nombre, las herramientas gratuitas de vicsol.org/es/decision-clarity/ te ayudan a estructurarla. No reemplazan una revisión formal.</w:t>
      </w:r>
    </w:p>
    <w:sectPr>
      <w:headerReference w:type="default" r:id="rId6"/>
      <w:footerReference w:type="default" r:id="rId7"/>
      <w:pgSz w:w="11906" w:h="16838" w:orient="portrait"/>
      <w:pgMar w:top="1300" w:right="1250" w:bottom="1500" w:left="125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Vic Sol · Mesa de Decisiones · vicsol.org/es/recursos/ · Uso libre con atribución.</w:t>
    </w:r>
  </w:p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Esta hoja estructura una conversación; no es asesoría legal, financiera ni de auditoría.</w:t>
    </w:r>
  </w:p>
  <w:p>
    <w:pPr>
      <w:jc w:val="right"/>
    </w:pP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PAGE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  <w:r>
      <w:rPr>
        <w:rFonts w:ascii="Inter" w:cs="Inter" w:eastAsia="Inter" w:hAnsi="Inter"/>
        <w:color w:val="4B5563"/>
        <w:sz w:val="15"/>
        <w:szCs w:val="15"/>
      </w:rPr>
      <w:t xml:space="preserve"> / </w:t>
    </w: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AE3" w:sz="4" w:space="4"/>
      </w:pBdr>
      <w:tabs>
        <w:tab w:val="right" w:pos="9000"/>
      </w:tabs>
    </w:pPr>
    <w:r>
      <w:rPr>
        <w:rFonts w:ascii="Inter" w:cs="Inter" w:eastAsia="Inter" w:hAnsi="Inter"/>
        <w:b/>
        <w:bCs/>
        <w:caps/>
        <w:color w:val="9A7B2F"/>
        <w:spacing w:val="20"/>
        <w:sz w:val="16"/>
        <w:szCs w:val="16"/>
      </w:rPr>
      <w:t xml:space="preserve">Vic Sol · Mesa de Decisiones</w:t>
    </w:r>
    <w:r>
      <w:rPr>
        <w:rFonts w:ascii="Inter" w:cs="Inter" w:eastAsia="Inter" w:hAnsi="Inter"/>
        <w:color w:val="4B5563"/>
        <w:sz w:val="16"/>
        <w:szCs w:val="16"/>
      </w:rPr>
      <w:t xml:space="preserve">	vicsol.org/es/recursos · 2026-10-19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  <w:rPr>
        <w:color w:val="9A7B2F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B1224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3730A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 w:before="0" w:line="264"/>
    </w:pPr>
    <w:rPr>
      <w:rFonts w:ascii="Georgia" w:cs="Georgia" w:eastAsia="Georgia" w:hAnsi="Georgia"/>
      <w:color w:val="0B12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top w:val="single" w:color="D7DAE3" w:sz="4" w:space="8"/>
      </w:pBdr>
      <w:spacing w:after="120" w:before="360"/>
    </w:pPr>
    <w:rPr>
      <w:rFonts w:ascii="Georgia" w:cs="Georgia" w:eastAsia="Georgia" w:hAnsi="Georgia"/>
      <w:color w:val="0B122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</w:pPr>
    <w:rPr>
      <w:rFonts w:ascii="Georgia" w:cs="Georgia" w:eastAsia="Georgia" w:hAnsi="Georgia"/>
      <w:color w:val="0B1224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Qué caso de uso de IA va primero: valor, facilidad y riesgo en una tabla</dc:title>
  <dc:subject>Hoja de decisión</dc:subject>
  <dc:creator>Vic Sol · Mesa de Decisiones</dc:creator>
  <cp:keywords>Vic Sol, Mesa de Decisiones, decisiones de IA</cp:keywords>
  <dc:description>Qué caso de uso de IA va primero: valor, facilidad y riesgo en una tabla</dc:description>
  <cp:lastModifiedBy>Un-named</cp:lastModifiedBy>
  <cp:revision>1</cp:revision>
  <dcterms:created xsi:type="dcterms:W3CDTF">2026-11-03T21:18:50.494Z</dcterms:created>
  <dcterms:modified xsi:type="dcterms:W3CDTF">2026-11-03T21:18:50.494Z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