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Tu plan 30-60-90 de IA como gerente (sin prometer lo que no controlas)</w:t>
      </w:r>
    </w:p>
    <w:p>
      <w:pPr>
        <w:pBdr>
          <w:left w:val="single" w:color="9A7B2F" w:sz="18" w:space="12"/>
        </w:pBdr>
        <w:spacing w:after="220" w:before="60"/>
        <w:ind w:left="360"/>
      </w:pPr>
      <w:r>
        <w:rPr>
          <w:i/>
          <w:iCs/>
          <w:color w:val="4B5563"/>
        </w:rPr>
        <w:t xml:space="preserve">Para gerentes a quienes les pidieron "un plan de IA" para su área y quieren comprometer entregables, no resultados que dependen de otros.</w:t>
      </w:r>
    </w:p>
    <w:p>
      <w:pPr>
        <w:pStyle w:val="Heading1"/>
      </w:pPr>
      <w:r>
        <w:rPr>
          <w:rFonts w:ascii="Georgia" w:cs="Georgia" w:eastAsia="Georgia" w:hAnsi="Georgia"/>
          <w:color w:val="0B1224"/>
          <w:sz w:val="30"/>
          <w:szCs w:val="30"/>
        </w:rPr>
        <w:t xml:space="preserve">Cuándo usarla</w:t>
      </w:r>
    </w:p>
    <w:p>
      <w:pPr>
        <w:pStyle w:val="ListParagraph"/>
        <w:numPr>
          <w:ilvl w:val="0"/>
          <w:numId w:val="2"/>
        </w:numPr>
        <w:spacing w:after="80"/>
      </w:pPr>
      <w:r>
        <w:t xml:space="preserve">Tu director te pidió un plan de IA para el trimestre y no quieres llegar con una lista de herramientas.</w:t>
      </w:r>
    </w:p>
    <w:p>
      <w:pPr>
        <w:pStyle w:val="ListParagraph"/>
        <w:numPr>
          <w:ilvl w:val="0"/>
          <w:numId w:val="2"/>
        </w:numPr>
        <w:spacing w:after="80"/>
      </w:pPr>
      <w:r>
        <w:t xml:space="preserve">Acabas de asumir un área y quieres ordenar lo que ya se usa antes de proponer algo nuevo.</w:t>
      </w:r>
    </w:p>
    <w:p>
      <w:pPr>
        <w:pStyle w:val="ListParagraph"/>
        <w:numPr>
          <w:ilvl w:val="0"/>
          <w:numId w:val="2"/>
        </w:numPr>
        <w:spacing w:after="80"/>
      </w:pPr>
      <w:r>
        <w:t xml:space="preserve">Hay presión por mostrar avances y necesitas fechas que sí dependan de ti.</w:t>
      </w:r>
    </w:p>
    <w:p>
      <w:pPr>
        <w:pStyle w:val="Heading1"/>
      </w:pPr>
      <w:r>
        <w:rPr>
          <w:rFonts w:ascii="Georgia" w:cs="Georgia" w:eastAsia="Georgia" w:hAnsi="Georgia"/>
          <w:color w:val="0B1224"/>
          <w:sz w:val="30"/>
          <w:szCs w:val="30"/>
        </w:rPr>
        <w:t xml:space="preserve">La hoja</w:t>
      </w:r>
    </w:p>
    <w:p>
      <w:pPr>
        <w:spacing w:after="160"/>
      </w:pPr>
      <w:r>
        <w:t xml:space="preserve">Área: [ ] · Gerente responsable: [nombre] · Inicio: [fecha] · Revisión final: [fecha día 90]</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325"/>
        <w:gridCol w:w="3069"/>
        <w:gridCol w:w="2232"/>
        <w:gridCol w:w="930"/>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Etapa</w:t>
            </w:r>
          </w:p>
        </w:tc>
        <w:tc>
          <w:tcPr>
            <w:tcW w:type="pct" w:w="12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Objetivo</w:t>
            </w:r>
          </w:p>
        </w:tc>
        <w:tc>
          <w:tcPr>
            <w:tcW w:type="pct" w:w="1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Entregable</w:t>
            </w:r>
          </w:p>
        </w:tc>
        <w:tc>
          <w:tcPr>
            <w:tcW w:type="pct" w:w="12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Métrica</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Quién lo revisa</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Días 1–30: entender</w:t>
            </w:r>
          </w:p>
        </w:tc>
        <w:tc>
          <w:tcPr>
            <w:tcW w:type="pct" w:w="12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Saber qué se usa hoy, con qué datos y qué cuesta el proceso elegido.</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Inventario de herramientas en uso, línea base de un proceso y reglas mínimas de uso escritas.</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Inventario completo (sí/no); línea base medida con fuente.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[director o comité]</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Días 31–60: probar</w:t>
            </w:r>
          </w:p>
        </w:tc>
        <w:tc>
          <w:tcPr>
            <w:tcW w:type="pct" w:w="12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Probar un solo caso de uso con una métrica definida antes de empezar.</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Un piloto acotado: alcance, participantes, fecha de inicio y fin.</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La métrica de la línea base, medida otra vez al cierre del piloto.</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[dueño del proceso]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Días 61–90: decidir</w:t>
            </w:r>
          </w:p>
        </w:tc>
        <w:tc>
          <w:tcPr>
            <w:tcW w:type="pct" w:w="12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Decidir con evidencia si se sigue, se ajusta o se apaga.</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Memo de una página: resultado, costo real, lo que no funcionó y decisión.</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Decisión tomada y registrada en fecha (sí/no).</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[director o comité]</w:t>
            </w:r>
          </w:p>
        </w:tc>
      </w:tr>
    </w:tbl>
    <w:p>
      <w:pPr>
        <w:spacing w:after="120"/>
      </w:pPr>
    </w:p>
    <w:p>
      <w:pPr>
        <w:spacing w:after="160"/>
      </w:pPr>
      <w:r>
        <w:t xml:space="preserve">Ejemplo ilustrativo: "Días 31–60: piloto de borradores de respuesta en atención a proveedores con dos analistas. Métrica: tiempo promedio de respuesta, comparado con la línea base de los días 1–30."</w:t>
      </w:r>
    </w:p>
    <w:p>
      <w:pPr>
        <w:spacing w:after="160"/>
      </w:pPr>
      <w:r>
        <w:t xml:space="preserve">Lo que prometes y lo que no:</w:t>
      </w:r>
    </w:p>
    <w:p>
      <w:pPr>
        <w:pStyle w:val="ListParagraph"/>
        <w:numPr>
          <w:ilvl w:val="0"/>
          <w:numId w:val="2"/>
        </w:numPr>
        <w:spacing w:after="80"/>
      </w:pPr>
      <w:r>
        <w:rPr>
          <w:b/>
          <w:bCs/>
        </w:rPr>
        <w:t xml:space="preserve">Prometes:</w:t>
      </w:r>
      <w:r>
        <w:t xml:space="preserve"> el inventario, la línea base, el piloto, la medición y el memo, en fecha.</w:t>
      </w:r>
    </w:p>
    <w:p>
      <w:pPr>
        <w:pStyle w:val="ListParagraph"/>
        <w:numPr>
          <w:ilvl w:val="0"/>
          <w:numId w:val="2"/>
        </w:numPr>
        <w:spacing w:after="80"/>
      </w:pPr>
      <w:r>
        <w:rPr>
          <w:b/>
          <w:bCs/>
        </w:rPr>
        <w:t xml:space="preserve">No prometes:</w:t>
      </w:r>
      <w:r>
        <w:t xml:space="preserve"> un porcentaje de ahorro, la adopción de otras áreas ni decisiones de TI o compras que no son tuyas.</w:t>
      </w:r>
    </w:p>
    <w:p>
      <w:pPr>
        <w:pStyle w:val="Heading1"/>
      </w:pPr>
      <w:r>
        <w:rPr>
          <w:rFonts w:ascii="Georgia" w:cs="Georgia" w:eastAsia="Georgia" w:hAnsi="Georgia"/>
          <w:color w:val="0B1224"/>
          <w:sz w:val="30"/>
          <w:szCs w:val="30"/>
        </w:rPr>
        <w:t xml:space="preserve">Cómo llenarla en 20 minutos</w:t>
      </w:r>
    </w:p>
    <w:p>
      <w:pPr>
        <w:pStyle w:val="ListParagraph"/>
        <w:numPr>
          <w:ilvl w:val="0"/>
          <w:numId w:val="3"/>
        </w:numPr>
        <w:spacing w:after="80"/>
      </w:pPr>
      <w:r>
        <w:t xml:space="preserve">Escribe las tres fechas de corte en el calendario de tu director antes de llenar lo demás.</w:t>
      </w:r>
    </w:p>
    <w:p>
      <w:pPr>
        <w:pStyle w:val="ListParagraph"/>
        <w:numPr>
          <w:ilvl w:val="0"/>
          <w:numId w:val="3"/>
        </w:numPr>
        <w:spacing w:after="80"/>
      </w:pPr>
      <w:r>
        <w:t xml:space="preserve">En la etapa 1, elige un solo proceso para la línea base. Medir todo es la forma más común de no medir nada.</w:t>
      </w:r>
    </w:p>
    <w:p>
      <w:pPr>
        <w:pStyle w:val="ListParagraph"/>
        <w:numPr>
          <w:ilvl w:val="0"/>
          <w:numId w:val="3"/>
        </w:numPr>
        <w:spacing w:after="80"/>
      </w:pPr>
      <w:r>
        <w:t xml:space="preserve">En la etapa 2, define la métrica y el criterio de éxito antes de que arranque el piloto, no después.</w:t>
      </w:r>
    </w:p>
    <w:p>
      <w:pPr>
        <w:pStyle w:val="ListParagraph"/>
        <w:numPr>
          <w:ilvl w:val="0"/>
          <w:numId w:val="3"/>
        </w:numPr>
        <w:spacing w:after="80"/>
      </w:pPr>
      <w:r>
        <w:t xml:space="preserve">En la etapa 3, deja escrita la opción "apagar" como resultado aceptable.</w:t>
      </w:r>
    </w:p>
    <w:p>
      <w:pPr>
        <w:pStyle w:val="ListParagraph"/>
        <w:numPr>
          <w:ilvl w:val="0"/>
          <w:numId w:val="3"/>
        </w:numPr>
        <w:spacing w:after="80"/>
      </w:pPr>
      <w:r>
        <w:t xml:space="preserve">Pon quién revisa cada etapa. Sin revisor, la fecha se mueve sola.</w:t>
      </w:r>
    </w:p>
    <w:p>
      <w:pPr>
        <w:pStyle w:val="ListParagraph"/>
        <w:numPr>
          <w:ilvl w:val="0"/>
          <w:numId w:val="3"/>
        </w:numPr>
        <w:spacing w:after="80"/>
      </w:pPr>
      <w:r>
        <w:t xml:space="preserve">El error más común: comprometer en el día 1 un resultado del día 90 que depende de presupuesto, de TI o de otra área.</w:t>
      </w:r>
    </w:p>
    <w:p>
      <w:pPr>
        <w:pStyle w:val="Heading1"/>
      </w:pPr>
      <w:r>
        <w:rPr>
          <w:rFonts w:ascii="Georgia" w:cs="Georgia" w:eastAsia="Georgia" w:hAnsi="Georgia"/>
          <w:color w:val="0B1224"/>
          <w:sz w:val="30"/>
          <w:szCs w:val="30"/>
        </w:rPr>
        <w:t xml:space="preserve">La línea que casi siempre falta</w:t>
      </w:r>
    </w:p>
    <w:p>
      <w:pPr>
        <w:spacing w:after="160"/>
      </w:pPr>
      <w:r>
        <w:t xml:space="preserve">"Apagar" como decisión válida del día 90. Un plan donde el piloto solo puede terminar en "escalar" no es un plan, es un compromiso de antemano. Si escribes desde el inicio que el memo puede recomendar seguir, ajustar o apagar, la medición se vuelve creíble y tu nombre queda protegido por la evidencia, no por la promesa.</w:t>
      </w:r>
    </w:p>
    <w:p>
      <w:pPr>
        <w:pStyle w:val="Heading1"/>
      </w:pPr>
      <w:r>
        <w:rPr>
          <w:rFonts w:ascii="Georgia" w:cs="Georgia" w:eastAsia="Georgia" w:hAnsi="Georgia"/>
          <w:color w:val="0B1224"/>
          <w:sz w:val="30"/>
          <w:szCs w:val="30"/>
        </w:rPr>
        <w:t xml:space="preserve">Si esto se vuelve una decisión grande</w:t>
      </w:r>
    </w:p>
    <w:p>
      <w:pPr>
        <w:spacing w:after="160"/>
      </w:pPr>
      <w:r>
        <w:t xml:space="preserve">Si el memo del día 90 termina en una inversión o en un cambio de funciones que lleva tu nombre, las herramientas gratuitas de vicsol.org/es/decision-clarity/ te ayudan a estructurarla. No reemplazan una revisión formal.</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Mesa de Decisiones · vicsol.org/es/recursos/ · Uso libre con atribución.</w:t>
    </w:r>
  </w:p>
  <w:p>
    <w:pPr>
      <w:spacing w:after="40"/>
    </w:pPr>
    <w:r>
      <w:rPr>
        <w:rFonts w:ascii="Inter" w:cs="Inter" w:eastAsia="Inter" w:hAnsi="Inter"/>
        <w:color w:val="4B5563"/>
        <w:sz w:val="15"/>
        <w:szCs w:val="15"/>
      </w:rPr>
      <w:t xml:space="preserve">Esta hoja estructura una conversación; no es asesoría legal, financiera ni de auditoría.</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Mesa de Decisiones</w:t>
    </w:r>
    <w:r>
      <w:rPr>
        <w:rFonts w:ascii="Inter" w:cs="Inter" w:eastAsia="Inter" w:hAnsi="Inter"/>
        <w:color w:val="4B5563"/>
        <w:sz w:val="16"/>
        <w:szCs w:val="16"/>
      </w:rPr>
      <w:t xml:space="preserve">	vicsol.org/es/recursos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 plan 30-60-90 de IA como gerente (sin prometer lo que no controlas)</dc:title>
  <dc:subject>Hoja de decisión</dc:subject>
  <dc:creator>Vic Sol · Mesa de Decisiones</dc:creator>
  <cp:keywords>Vic Sol, Mesa de Decisiones, decisiones de IA</cp:keywords>
  <dc:description>Tu plan 30-60-90 de IA como gerente (sin prometer lo que no controlas)</dc:description>
  <cp:lastModifiedBy>Un-named</cp:lastModifiedBy>
  <cp:revision>1</cp:revision>
  <dcterms:created xsi:type="dcterms:W3CDTF">2026-11-03T21:18:50.719Z</dcterms:created>
  <dcterms:modified xsi:type="dcterms:W3CDTF">2026-11-03T21:18:50.719Z</dcterms:modified>
</cp:coreProperties>
</file>

<file path=docProps/custom.xml><?xml version="1.0" encoding="utf-8"?>
<Properties xmlns="http://schemas.openxmlformats.org/officeDocument/2006/custom-properties" xmlns:vt="http://schemas.openxmlformats.org/officeDocument/2006/docPropsVTypes"/>
</file>