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rPr>
          <w:rFonts w:ascii="Georgia" w:cs="Georgia" w:eastAsia="Georgia" w:hAnsi="Georgia"/>
          <w:color w:val="0B1224"/>
          <w:sz w:val="44"/>
          <w:szCs w:val="44"/>
        </w:rPr>
        <w:t xml:space="preserve">Casi nadie compara costo contra valor: la revisión trimestral</w:t>
      </w:r>
    </w:p>
    <w:p>
      <w:pPr>
        <w:pBdr>
          <w:left w:val="single" w:color="9A7B2F" w:sz="18" w:space="12"/>
        </w:pBdr>
        <w:spacing w:after="220" w:before="60"/>
        <w:ind w:left="360"/>
      </w:pPr>
      <w:r>
        <w:rPr>
          <w:i/>
          <w:iCs/>
          <w:color w:val="4B5563"/>
        </w:rPr>
        <w:t xml:space="preserve">Para finanzas, operaciones o TI con más de tres herramientas de IA activas, donde nadie ha revisado, caso por caso, qué dejó cada una.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Cuándo usarla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Llega la renovación de una licencia y nadie recuerda qué número debía mejorar.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El gasto en IA crece cada trimestre y el comité solo ve el total.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Te piden "más presupuesto para IA" y no sabes cuál de los usos actuales funciona.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La hoja</w:t>
      </w:r>
    </w:p>
    <w:p>
      <w:pPr>
        <w:spacing w:after="160"/>
      </w:pPr>
      <w:r>
        <w:t xml:space="preserve">Una fila por caso de uso, no por herramienta: una misma licencia puede tener tres casos con tres veredictos.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581"/>
        <w:gridCol w:w="744"/>
        <w:gridCol w:w="1860"/>
        <w:gridCol w:w="1581"/>
        <w:gridCol w:w="2232"/>
        <w:gridCol w:w="1302"/>
      </w:tblGrid>
      <w:tr>
        <w:trPr>
          <w:cantSplit/>
          <w:tblHeader/>
        </w:trPr>
        <w:tc>
          <w:tcPr>
            <w:tcW w:type="pct" w:w="85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Caso de uso</w:t>
            </w:r>
          </w:p>
        </w:tc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Dueño</w:t>
            </w:r>
          </w:p>
        </w:tc>
        <w:tc>
          <w:tcPr>
            <w:tcW w:type="pct" w:w="10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Costo mensual (licencia + uso + horas de revisión)</w:t>
            </w:r>
          </w:p>
        </w:tc>
        <w:tc>
          <w:tcPr>
            <w:tcW w:type="pct" w:w="85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Métrica que debía mover</w:t>
            </w:r>
          </w:p>
        </w:tc>
        <w:tc>
          <w:tcPr>
            <w:tcW w:type="pct" w:w="12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Evidencia (dato, fecha, fuente)</w:t>
            </w:r>
          </w:p>
        </w:tc>
        <w:tc>
          <w:tcPr>
            <w:tcW w:type="pct" w:w="7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Veredicto</w:t>
            </w:r>
          </w:p>
        </w:tc>
      </w:tr>
      <w:tr>
        <w:trPr>
          <w:cantSplit/>
        </w:trPr>
        <w:tc>
          <w:tcPr>
            <w:tcW w:type="pct" w:w="8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[Qué hace y para quién]</w:t>
            </w:r>
          </w:p>
        </w:tc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[Del área, no de TI]</w:t>
            </w:r>
          </w:p>
        </w:tc>
        <w:tc>
          <w:tcPr>
            <w:tcW w:type="pct" w:w="10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[Tres partidas; la tercera, estimada]</w:t>
            </w:r>
          </w:p>
        </w:tc>
        <w:tc>
          <w:tcPr>
            <w:tcW w:type="pct" w:w="8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[Un número de negocio, no "productividad"]</w:t>
            </w:r>
          </w:p>
        </w:tc>
        <w:tc>
          <w:tcPr>
            <w:tcW w:type="pct" w:w="12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[Antes y después, con fecha]</w:t>
            </w:r>
          </w:p>
        </w:tc>
        <w:tc>
          <w:tcPr>
            <w:tcW w:type="pct" w:w="7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Seguir / Ajustar / Apagar</w:t>
            </w:r>
          </w:p>
        </w:tc>
      </w:tr>
      <w:tr>
        <w:trPr>
          <w:cantSplit/>
        </w:trPr>
        <w:tc>
          <w:tcPr>
            <w:tcW w:type="pct" w:w="8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Ilustrativo: resumen de tickets de soporte</w:t>
            </w:r>
          </w:p>
        </w:tc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Jefa de soporte</w:t>
            </w:r>
          </w:p>
        </w:tc>
        <w:tc>
          <w:tcPr>
            <w:tcW w:type="pct" w:w="10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Licencia + consumo + 6 h/mes de revisión</w:t>
            </w:r>
          </w:p>
        </w:tc>
        <w:tc>
          <w:tcPr>
            <w:tcW w:type="pct" w:w="8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Tiempo de primera respuesta</w:t>
            </w:r>
          </w:p>
        </w:tc>
        <w:tc>
          <w:tcPr>
            <w:tcW w:type="pct" w:w="12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De 4 h a 2,5 h en seis semanas, según el sistema de tickets</w:t>
            </w:r>
          </w:p>
        </w:tc>
        <w:tc>
          <w:tcPr>
            <w:tcW w:type="pct" w:w="7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Seguir</w:t>
            </w:r>
          </w:p>
        </w:tc>
      </w:tr>
      <w:tr>
        <w:trPr>
          <w:cantSplit/>
        </w:trPr>
        <w:tc>
          <w:tcPr>
            <w:tcW w:type="pct" w:w="8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</w:p>
        </w:tc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</w:p>
        </w:tc>
        <w:tc>
          <w:tcPr>
            <w:tcW w:type="pct" w:w="10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</w:p>
        </w:tc>
        <w:tc>
          <w:tcPr>
            <w:tcW w:type="pct" w:w="8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</w:p>
        </w:tc>
        <w:tc>
          <w:tcPr>
            <w:tcW w:type="pct" w:w="12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</w:p>
        </w:tc>
        <w:tc>
          <w:tcPr>
            <w:tcW w:type="pct" w:w="7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</w:p>
        </w:tc>
      </w:tr>
    </w:tbl>
    <w:p>
      <w:pPr>
        <w:spacing w:after="120"/>
      </w:pPr>
    </w:p>
    <w:p>
      <w:pPr>
        <w:spacing w:after="160"/>
      </w:pPr>
      <w:r>
        <w:t xml:space="preserve">Regla del veredicto. Seguir: hay evidencia con fecha de que la métrica se movió. Ajustar: la métrica existe pero no se midió, o las horas de revisión se comen el beneficio. Apagar: tras un trimestre completo no mueve ningún número.</w:t>
      </w:r>
    </w:p>
    <w:p>
      <w:pPr>
        <w:spacing w:after="160"/>
      </w:pPr>
      <w:r>
        <w:t xml:space="preserve">Fecha de esta revisión: ____________ · Próxima revisión: ____________ · Quien convoca: ____________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Cómo llenarla en 15 minutos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Lista casos de uso, no facturas: una fila por cada cosa que un área hace con la herramienta.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Llena el costo con tres partidas: licencia, consumo y horas de quien revisa lo que sale. La tercera casi nunca está en el presupuesto; estímala y rotúlala.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Escribe la métrica que debía mover. Si la respuesta es "productividad" o "eficiencia", todavía no es una métrica.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Busca la evidencia: un dato con fecha vale más que diez opiniones. Si no hay, deja la casilla en blanco; el blanco es información.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El error más común: dar "seguir" a todo lo que se usa mucho. Uso no es valor. Un caso popular que no mueve ningún número es un gasto popular.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Pon fecha de la próxima revisión antes de cerrar; la hoja solo funciona si se repite.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La línea que casi siempre falta</w:t>
      </w:r>
    </w:p>
    <w:p>
      <w:pPr>
        <w:spacing w:after="160"/>
      </w:pPr>
      <w:r>
        <w:t xml:space="preserve">La columna de evidencia. Las empresas saben cuánto cuesta cada herramienta y hasta tienen una métrica en mente; falta el dato con fecha que demuestre que se movió por la herramienta. Sin esa columna, el veredicto es una opinión con formato de tabla.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Lo que dice el estudio</w:t>
      </w:r>
    </w:p>
    <w:p>
      <w:pPr>
        <w:spacing w:after="160"/>
      </w:pPr>
      <w:r>
        <w:t xml:space="preserve">Hecho: KPMG publicó el 24 de septiembre de 2026 su encuesta Global AI Pulse del tercer trimestre, con 2.131 líderes senior en 20 países. El 61 % revisa los costos de la IA al aprobar un proyecto y el 59 % los monitorea en operación. Solo el 12 % compara de forma constante el valor de la IA contra su costo. La muestra es de empresas grandes; sus montos de inversión no aplican a una pyme.</w:t>
      </w:r>
    </w:p>
    <w:p>
      <w:pPr>
        <w:spacing w:after="160"/>
      </w:pPr>
      <w:r>
        <w:t xml:space="preserve">Mi lectura: revisar el costo al aprobar es fácil. Comparar costo contra valor cada trimestre es incómodo, porque obliga a apagar cosas. Es como aprobar el presupuesto de un equipo y nunca revisar qué entregó.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Si esto se vuelve una decisión grande</w:t>
      </w:r>
    </w:p>
    <w:p>
      <w:pPr>
        <w:spacing w:after="160"/>
      </w:pPr>
      <w:r>
        <w:t xml:space="preserve">Si un veredicto implica apagar un contrato difícil de revertir y lleva tu nombre, las herramientas gratuitas de vicsol.org/es/decision-clarity/ te ayudan a estructurarlo. No reemplazan una revisión formal.</w:t>
      </w:r>
    </w:p>
    <w:sectPr>
      <w:headerReference w:type="default" r:id="rId6"/>
      <w:footerReference w:type="default" r:id="rId7"/>
      <w:pgSz w:w="11906" w:h="16838" w:orient="portrait"/>
      <w:pgMar w:top="1300" w:right="1250" w:bottom="1500" w:left="1250" w:header="560" w:footer="52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40"/>
    </w:pPr>
    <w:r>
      <w:rPr>
        <w:rFonts w:ascii="Inter" w:cs="Inter" w:eastAsia="Inter" w:hAnsi="Inter"/>
        <w:color w:val="4B5563"/>
        <w:sz w:val="15"/>
        <w:szCs w:val="15"/>
      </w:rPr>
      <w:t xml:space="preserve">Vic Sol · Mesa de Decisiones · vicsol.org/es/recursos/ · Uso libre con atribución.</w:t>
    </w:r>
  </w:p>
  <w:p>
    <w:pPr>
      <w:spacing w:after="40"/>
    </w:pPr>
    <w:r>
      <w:rPr>
        <w:rFonts w:ascii="Inter" w:cs="Inter" w:eastAsia="Inter" w:hAnsi="Inter"/>
        <w:color w:val="4B5563"/>
        <w:sz w:val="15"/>
        <w:szCs w:val="15"/>
      </w:rPr>
      <w:t xml:space="preserve">Esta hoja estructura una conversación; no es asesoría legal, financiera ni de auditoría.</w:t>
    </w:r>
  </w:p>
  <w:p>
    <w:pPr>
      <w:jc w:val="right"/>
    </w:pPr>
    <w:r>
      <w:rPr>
        <w:rFonts w:ascii="Inter" w:cs="Inter" w:eastAsia="Inter" w:hAnsi="Inter"/>
        <w:color w:val="4B5563"/>
        <w:sz w:val="15"/>
        <w:szCs w:val="15"/>
      </w:rPr>
      <w:fldChar w:fldCharType="begin"/>
    </w:r>
    <w:r>
      <w:rPr>
        <w:rFonts w:ascii="Inter" w:cs="Inter" w:eastAsia="Inter" w:hAnsi="Inter"/>
        <w:color w:val="4B5563"/>
        <w:sz w:val="15"/>
        <w:szCs w:val="15"/>
      </w:rPr>
      <w:instrText xml:space="preserve">PAGE</w:instrText>
    </w:r>
    <w:r>
      <w:rPr>
        <w:rFonts w:ascii="Inter" w:cs="Inter" w:eastAsia="Inter" w:hAnsi="Inter"/>
        <w:color w:val="4B5563"/>
        <w:sz w:val="15"/>
        <w:szCs w:val="15"/>
      </w:rPr>
      <w:fldChar w:fldCharType="separate"/>
    </w:r>
    <w:r>
      <w:rPr>
        <w:rFonts w:ascii="Inter" w:cs="Inter" w:eastAsia="Inter" w:hAnsi="Inter"/>
        <w:color w:val="4B5563"/>
        <w:sz w:val="15"/>
        <w:szCs w:val="15"/>
      </w:rPr>
      <w:fldChar w:fldCharType="end"/>
    </w:r>
    <w:r>
      <w:rPr>
        <w:rFonts w:ascii="Inter" w:cs="Inter" w:eastAsia="Inter" w:hAnsi="Inter"/>
        <w:color w:val="4B5563"/>
        <w:sz w:val="15"/>
        <w:szCs w:val="15"/>
      </w:rPr>
      <w:t xml:space="preserve"> / </w:t>
    </w:r>
    <w:r>
      <w:rPr>
        <w:rFonts w:ascii="Inter" w:cs="Inter" w:eastAsia="Inter" w:hAnsi="Inter"/>
        <w:color w:val="4B5563"/>
        <w:sz w:val="15"/>
        <w:szCs w:val="15"/>
      </w:rPr>
      <w:fldChar w:fldCharType="begin"/>
    </w:r>
    <w:r>
      <w:rPr>
        <w:rFonts w:ascii="Inter" w:cs="Inter" w:eastAsia="Inter" w:hAnsi="Inter"/>
        <w:color w:val="4B5563"/>
        <w:sz w:val="15"/>
        <w:szCs w:val="15"/>
      </w:rPr>
      <w:instrText xml:space="preserve">NUMPAGES</w:instrText>
    </w:r>
    <w:r>
      <w:rPr>
        <w:rFonts w:ascii="Inter" w:cs="Inter" w:eastAsia="Inter" w:hAnsi="Inter"/>
        <w:color w:val="4B5563"/>
        <w:sz w:val="15"/>
        <w:szCs w:val="15"/>
      </w:rPr>
      <w:fldChar w:fldCharType="separate"/>
    </w:r>
    <w:r>
      <w:rPr>
        <w:rFonts w:ascii="Inter" w:cs="Inter" w:eastAsia="Inter" w:hAnsi="Inter"/>
        <w:color w:val="4B5563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7DAE3" w:sz="4" w:space="4"/>
      </w:pBdr>
      <w:tabs>
        <w:tab w:val="right" w:pos="9000"/>
      </w:tabs>
    </w:pPr>
    <w:r>
      <w:rPr>
        <w:rFonts w:ascii="Inter" w:cs="Inter" w:eastAsia="Inter" w:hAnsi="Inter"/>
        <w:b/>
        <w:bCs/>
        <w:caps/>
        <w:color w:val="9A7B2F"/>
        <w:spacing w:val="20"/>
        <w:sz w:val="16"/>
        <w:szCs w:val="16"/>
      </w:rPr>
      <w:t xml:space="preserve">Vic Sol · Mesa de Decisiones</w:t>
    </w:r>
    <w:r>
      <w:rPr>
        <w:rFonts w:ascii="Inter" w:cs="Inter" w:eastAsia="Inter" w:hAnsi="Inter"/>
        <w:color w:val="4B5563"/>
        <w:sz w:val="16"/>
        <w:szCs w:val="16"/>
      </w:rPr>
      <w:t xml:space="preserve">	vicsol.org/es/recursos · 2026-10-19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  <w:rPr>
        <w:color w:val="9A7B2F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9A7B2F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0B1224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3730A3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200" w:before="0" w:line="264"/>
    </w:pPr>
    <w:rPr>
      <w:rFonts w:ascii="Georgia" w:cs="Georgia" w:eastAsia="Georgia" w:hAnsi="Georgia"/>
      <w:color w:val="0B1224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pBdr>
        <w:top w:val="single" w:color="D7DAE3" w:sz="4" w:space="8"/>
      </w:pBdr>
      <w:spacing w:after="120" w:before="360"/>
    </w:pPr>
    <w:rPr>
      <w:rFonts w:ascii="Georgia" w:cs="Georgia" w:eastAsia="Georgia" w:hAnsi="Georgia"/>
      <w:color w:val="0B1224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80" w:before="240"/>
    </w:pPr>
    <w:rPr>
      <w:rFonts w:ascii="Georgia" w:cs="Georgia" w:eastAsia="Georgia" w:hAnsi="Georgia"/>
      <w:color w:val="0B1224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Casi nadie compara costo contra valor: la revisión trimestral</dc:title>
  <dc:subject>Hoja de decisión</dc:subject>
  <dc:creator>Vic Sol · Mesa de Decisiones</dc:creator>
  <cp:keywords>Vic Sol, Mesa de Decisiones, decisiones de IA</cp:keywords>
  <dc:description>Casi nadie compara costo contra valor: la revisión trimestral</dc:description>
  <cp:lastModifiedBy>Un-named</cp:lastModifiedBy>
  <cp:revision>1</cp:revision>
  <dcterms:created xsi:type="dcterms:W3CDTF">2026-11-03T21:18:51.391Z</dcterms:created>
  <dcterms:modified xsi:type="dcterms:W3CDTF">2026-11-03T21:18:51.391Z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