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rFonts w:ascii="Georgia" w:cs="Georgia" w:eastAsia="Georgia" w:hAnsi="Georgia"/>
          <w:color w:val="0B1224"/>
          <w:sz w:val="44"/>
          <w:szCs w:val="44"/>
        </w:rPr>
        <w:t xml:space="preserve">Así se nota una empresa que usa bien la IA: preguntas para mañana</w:t>
      </w:r>
    </w:p>
    <w:p>
      <w:pPr>
        <w:pBdr>
          <w:left w:val="single" w:color="9A7B2F" w:sz="18" w:space="12"/>
        </w:pBdr>
        <w:spacing w:after="220" w:before="60"/>
        <w:ind w:left="360"/>
      </w:pPr>
      <w:r>
        <w:rPr>
          <w:i/>
          <w:iCs/>
          <w:color w:val="4B5563"/>
        </w:rPr>
        <w:t xml:space="preserve">Para directivos que quieren saber si su empresa usa bien la IA, no solo si la paga, y tienen una reunión mañana donde pueden preguntarlo.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Cuándo usarla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Renovaste las licencias y nadie sabe decir qué cambió desde que se compraron.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Un competidor "ya usa IA" y en tu empresa también, y no sabes si están a años de distancia o no.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 toca presentar al comité el estado de la IA y solo tienes una lista de herramientas.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hoja</w:t>
      </w:r>
    </w:p>
    <w:p>
      <w:pPr>
        <w:spacing w:after="160"/>
      </w:pPr>
      <w:r>
        <w:t xml:space="preserve">Dos empresas pueden pagar las mismas licencias de IA y estar a años de distancia. La diferencia no está en el recibo; está en tres señales. Cada una se convierte en una pregunta que puedes hacer mañana, a una persona concreta, y la respuesta te dice de inmediato en qué lado estás.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744"/>
        <w:gridCol w:w="1023"/>
        <w:gridCol w:w="1488"/>
        <w:gridCol w:w="1581"/>
        <w:gridCol w:w="2790"/>
        <w:gridCol w:w="1674"/>
      </w:tblGrid>
      <w:tr>
        <w:trPr>
          <w:cantSplit/>
          <w:tblHeader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☐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Señal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A quién le preguntas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La pregunta para mañana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Respuesta que indica que va bien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0B1224" w:sz="8"/>
              <w:right w:val="none" w:color="FFFFFF" w:sz="0"/>
            </w:tcBorders>
            <w:shd w:fill="EEF0F5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aps/>
                <w:color w:val="4B5563"/>
                <w:sz w:val="17"/>
                <w:szCs w:val="17"/>
              </w:rPr>
              <w:t xml:space="preserve">Respuesta que indica que falta trabajo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☐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1 · Un número, no un adjetivo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Al director o al jefe del área que más la usa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"¿Qué mejoró desde que usamos IA?"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número con una tarea: "las cotizaciones bajaron de tres días a uno" (ilustrativo).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Un adjetivo: "la gente está más productiva".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☐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2 · Reglas claras sobre datos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alguien del equipo, no al jefe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"¿Qué datos puedes pegar en la IA y cuáles no?"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Responde sin pensar, con ejemplos.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Duda, mira al jefe o dice "supongo que…".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b/>
                <w:bCs/>
                <w:sz w:val="19"/>
                <w:szCs w:val="19"/>
              </w:rPr>
              <w:t xml:space="preserve">☐</w:t>
            </w:r>
          </w:p>
        </w:tc>
        <w:tc>
          <w:tcPr>
            <w:tcW w:type="pct" w:w="5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3 · Aprenden de su propia gente</w:t>
            </w:r>
          </w:p>
        </w:tc>
        <w:tc>
          <w:tcPr>
            <w:tcW w:type="pct" w:w="8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A quien usa la IA a diario</w:t>
            </w:r>
          </w:p>
        </w:tc>
        <w:tc>
          <w:tcPr>
            <w:tcW w:type="pct" w:w="85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"¿Quién te enseñó a usarla?"</w:t>
            </w:r>
          </w:p>
        </w:tc>
        <w:tc>
          <w:tcPr>
            <w:tcW w:type="pct" w:w="15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"Alguien de contabilidad nos mostró cómo." Un nombre del propio equipo.</w:t>
            </w:r>
          </w:p>
        </w:tc>
        <w:tc>
          <w:tcPr>
            <w:tcW w:type="pct" w:w="900"/>
            <w:tcBorders>
              <w:top w:val="single" w:color="D7DAE3" w:sz="4"/>
              <w:left w:val="none" w:color="FFFFFF" w:sz="0"/>
              <w:bottom w:val="single" w:color="D7DAE3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/>
            </w:pPr>
            <w:r>
              <w:rPr>
                <w:sz w:val="19"/>
                <w:szCs w:val="19"/>
              </w:rPr>
              <w:t xml:space="preserve">"Un curso." Y nada después del curso.</w:t>
            </w:r>
          </w:p>
        </w:tc>
      </w:tr>
    </w:tbl>
    <w:p>
      <w:pPr>
        <w:spacing w:after="120"/>
      </w:pPr>
    </w:p>
    <w:p>
      <w:pPr>
        <w:spacing w:after="160"/>
      </w:pPr>
      <w:r>
        <w:t xml:space="preserve">Resultado: ___ de 3. Si tienes las tres, va bien. Si falta una, empieza por esa, no por otra herramienta.</w:t>
      </w:r>
    </w:p>
    <w:p>
      <w:pPr>
        <w:spacing w:after="160"/>
      </w:pPr>
      <w:r>
        <w:t xml:space="preserve">Misma licencia, dos empresas: la que marca las tres casillas tiene un número, reglas y un nombre. La que no, tiene el mismo recibo.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Cómo llenarla en 5 minutos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Elige a las tres personas antes de la reunión. La señal 2 solo funciona si le preguntas a alguien del equipo; el jefe siempre conoce la regla.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Haz las preguntas tal como están escritas, sin explicar por qué. Si explicas, te responden lo que quieres oír.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Anota la respuesta literal, no tu interpretación. "Más productivos" se queda como "más productivos".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Marca la casilla solo si la respuesta cae en la columna "va bien". Las respuestas a medias van en "falta trabajo".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El error más común: hacer las tres preguntas al mismo director. Te dará tres respuestas buenas y la hoja no te habrá dicho nada.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La línea que casi siempre falta</w:t>
      </w:r>
    </w:p>
    <w:p>
      <w:pPr>
        <w:spacing w:after="160"/>
      </w:pPr>
      <w:r>
        <w:t xml:space="preserve">La casilla que queda vacía es el plan. Las empresas responden a una señal faltante comprando otra herramienta, y la herramienta no arregla un número que nadie mide, una regla que nadie escribió ni una persona que nadie nombró. Empieza por la casilla vacía: es el trabajo más barato y el que más se nota.</w:t>
      </w:r>
    </w:p>
    <w:p>
      <w:pPr>
        <w:pStyle w:val="Heading1"/>
      </w:pPr>
      <w:r>
        <w:rPr>
          <w:rFonts w:ascii="Georgia" w:cs="Georgia" w:eastAsia="Georgia" w:hAnsi="Georgia"/>
          <w:color w:val="0B1224"/>
          <w:sz w:val="30"/>
          <w:szCs w:val="30"/>
        </w:rPr>
        <w:t xml:space="preserve">Si esto se vuelve una decisión grande</w:t>
      </w:r>
    </w:p>
    <w:p>
      <w:pPr>
        <w:spacing w:after="160"/>
      </w:pPr>
      <w:r>
        <w:t xml:space="preserve">Si la casilla vacía te lleva a una renovación o compra difícil de revertir y lleva tu nombre, las herramientas gratuitas de vicsol.org/es/decision-clarity/ te ayudan a estructurarla. No reemplazan una revisión formal.</w:t>
      </w:r>
    </w:p>
    <w:sectPr>
      <w:headerReference w:type="default" r:id="rId6"/>
      <w:footerReference w:type="default" r:id="rId7"/>
      <w:pgSz w:w="11906" w:h="16838" w:orient="portrait"/>
      <w:pgMar w:top="1300" w:right="1250" w:bottom="1500" w:left="1250" w:header="560" w:footer="52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Vic Sol · Mesa de Decisiones · vicsol.org/es/recursos/ · Uso libre con atribución.</w:t>
    </w:r>
  </w:p>
  <w:p>
    <w:pPr>
      <w:spacing w:after="40"/>
    </w:pPr>
    <w:r>
      <w:rPr>
        <w:rFonts w:ascii="Inter" w:cs="Inter" w:eastAsia="Inter" w:hAnsi="Inter"/>
        <w:color w:val="4B5563"/>
        <w:sz w:val="15"/>
        <w:szCs w:val="15"/>
      </w:rPr>
      <w:t xml:space="preserve">Esta hoja estructura una conversación; no es asesoría legal, financiera ni de auditoría.</w:t>
    </w:r>
  </w:p>
  <w:p>
    <w:pPr>
      <w:jc w:val="right"/>
    </w:pP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PAGE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  <w:r>
      <w:rPr>
        <w:rFonts w:ascii="Inter" w:cs="Inter" w:eastAsia="Inter" w:hAnsi="Inter"/>
        <w:color w:val="4B5563"/>
        <w:sz w:val="15"/>
        <w:szCs w:val="15"/>
      </w:rPr>
      <w:t xml:space="preserve"> / </w:t>
    </w:r>
    <w:r>
      <w:rPr>
        <w:rFonts w:ascii="Inter" w:cs="Inter" w:eastAsia="Inter" w:hAnsi="Inter"/>
        <w:color w:val="4B5563"/>
        <w:sz w:val="15"/>
        <w:szCs w:val="15"/>
      </w:rPr>
      <w:fldChar w:fldCharType="begin"/>
    </w:r>
    <w:r>
      <w:rPr>
        <w:rFonts w:ascii="Inter" w:cs="Inter" w:eastAsia="Inter" w:hAnsi="Inter"/>
        <w:color w:val="4B5563"/>
        <w:sz w:val="15"/>
        <w:szCs w:val="15"/>
      </w:rPr>
      <w:instrText xml:space="preserve">NUMPAGES</w:instrText>
    </w:r>
    <w:r>
      <w:rPr>
        <w:rFonts w:ascii="Inter" w:cs="Inter" w:eastAsia="Inter" w:hAnsi="Inter"/>
        <w:color w:val="4B5563"/>
        <w:sz w:val="15"/>
        <w:szCs w:val="15"/>
      </w:rPr>
      <w:fldChar w:fldCharType="separate"/>
    </w:r>
    <w:r>
      <w:rPr>
        <w:rFonts w:ascii="Inter" w:cs="Inter" w:eastAsia="Inter" w:hAnsi="Inter"/>
        <w:color w:val="4B5563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7DAE3" w:sz="4" w:space="4"/>
      </w:pBdr>
      <w:tabs>
        <w:tab w:val="right" w:pos="9000"/>
      </w:tabs>
    </w:pPr>
    <w:r>
      <w:rPr>
        <w:rFonts w:ascii="Inter" w:cs="Inter" w:eastAsia="Inter" w:hAnsi="Inter"/>
        <w:b/>
        <w:bCs/>
        <w:caps/>
        <w:color w:val="9A7B2F"/>
        <w:spacing w:val="20"/>
        <w:sz w:val="16"/>
        <w:szCs w:val="16"/>
      </w:rPr>
      <w:t xml:space="preserve">Vic Sol · Mesa de Decisiones</w:t>
    </w:r>
    <w:r>
      <w:rPr>
        <w:rFonts w:ascii="Inter" w:cs="Inter" w:eastAsia="Inter" w:hAnsi="Inter"/>
        <w:color w:val="4B5563"/>
        <w:sz w:val="16"/>
        <w:szCs w:val="16"/>
      </w:rPr>
      <w:t xml:space="preserve">	vicsol.org/es/recursos · 2026-10-19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  <w:rPr>
        <w:color w:val="9A7B2F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9A7B2F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0B1224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3730A3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00" w:before="0" w:line="264"/>
    </w:pPr>
    <w:rPr>
      <w:rFonts w:ascii="Georgia" w:cs="Georgia" w:eastAsia="Georgia" w:hAnsi="Georgia"/>
      <w:color w:val="0B12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top w:val="single" w:color="D7DAE3" w:sz="4" w:space="8"/>
      </w:pBdr>
      <w:spacing w:after="120" w:before="360"/>
    </w:pPr>
    <w:rPr>
      <w:rFonts w:ascii="Georgia" w:cs="Georgia" w:eastAsia="Georgia" w:hAnsi="Georgia"/>
      <w:color w:val="0B122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80" w:before="240"/>
    </w:pPr>
    <w:rPr>
      <w:rFonts w:ascii="Georgia" w:cs="Georgia" w:eastAsia="Georgia" w:hAnsi="Georgia"/>
      <w:color w:val="0B1224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Así se nota una empresa que usa bien la IA: preguntas para mañana</dc:title>
  <dc:subject>Hoja de decisión</dc:subject>
  <dc:creator>Vic Sol · Mesa de Decisiones</dc:creator>
  <cp:keywords>Vic Sol, Mesa de Decisiones, decisiones de IA</cp:keywords>
  <dc:description>Así se nota una empresa que usa bien la IA: preguntas para mañana</dc:description>
  <cp:lastModifiedBy>Un-named</cp:lastModifiedBy>
  <cp:revision>1</cp:revision>
  <dcterms:created xsi:type="dcterms:W3CDTF">2026-11-03T21:18:51.522Z</dcterms:created>
  <dcterms:modified xsi:type="dcterms:W3CDTF">2026-11-03T21:18:51.522Z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