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Seis indicadores de eficiencia para medir antes y después de la IA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Para gerentes que van a introducir IA en un proceso y quieren poder demostrar, a los 90 días, qué cambió y qué no.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Cuándo usarla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Vas a arrancar un piloto y todavía no tienes el número de antes.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Te preguntan si la herramienta "está funcionando" y solo tienes la opinión del equipo.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Los resultados se ven bien en un indicador y quieres revisar si empeoró otro.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hoja</w:t>
      </w:r>
    </w:p>
    <w:p>
      <w:pPr>
        <w:spacing w:after="160"/>
      </w:pPr>
      <w:r>
        <w:t xml:space="preserve">Proceso: [ ] · Unidad que se procesa: [factura, solicitud, ticket, contrato] · Fecha de línea base: [ ] · Fecha de medición: [ ]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953"/>
        <w:gridCol w:w="3906"/>
        <w:gridCol w:w="837"/>
        <w:gridCol w:w="744"/>
        <w:gridCol w:w="930"/>
        <w:gridCol w:w="930"/>
      </w:tblGrid>
      <w:tr>
        <w:trPr>
          <w:cantSplit/>
          <w:tblHeader/>
        </w:trPr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Indicador</w:t>
            </w:r>
          </w:p>
        </w:tc>
        <w:tc>
          <w:tcPr>
            <w:tcW w:type="pct" w:w="21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Fórmula</w:t>
            </w:r>
          </w:p>
        </w:tc>
        <w:tc>
          <w:tcPr>
            <w:tcW w:type="pct" w:w="4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Antes (línea base)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Después (90 días)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Fuente del dato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Dueño</w:t>
            </w:r>
          </w:p>
        </w:tc>
      </w:tr>
      <w:tr>
        <w:trPr>
          <w:cantSplit/>
        </w:trPr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Tiempo de ciclo</w:t>
            </w:r>
          </w:p>
        </w:tc>
        <w:tc>
          <w:tcPr>
            <w:tcW w:type="pct" w:w="2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Tiempo desde que entra la unidad hasta que se cierra (promedio).</w:t>
            </w:r>
          </w:p>
        </w:tc>
        <w:tc>
          <w:tcPr>
            <w:tcW w:type="pct" w:w="4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[sistema o registro]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</w:tr>
      <w:tr>
        <w:trPr>
          <w:cantSplit/>
        </w:trPr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Costo por unidad procesada</w:t>
            </w:r>
          </w:p>
        </w:tc>
        <w:tc>
          <w:tcPr>
            <w:tcW w:type="pct" w:w="2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Costo total del proceso en el mes ÷ unidades procesadas en el mes. Incluye licencias.</w:t>
            </w:r>
          </w:p>
        </w:tc>
        <w:tc>
          <w:tcPr>
            <w:tcW w:type="pct" w:w="4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</w:tr>
      <w:tr>
        <w:trPr>
          <w:cantSplit/>
        </w:trPr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Tasa de retrabajo / errores</w:t>
            </w:r>
          </w:p>
        </w:tc>
        <w:tc>
          <w:tcPr>
            <w:tcW w:type="pct" w:w="2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Unidades corregidas o devueltas ÷ unidades procesadas.</w:t>
            </w:r>
          </w:p>
        </w:tc>
        <w:tc>
          <w:tcPr>
            <w:tcW w:type="pct" w:w="4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</w:tr>
      <w:tr>
        <w:trPr>
          <w:cantSplit/>
        </w:trPr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Horas de revisión humana</w:t>
            </w:r>
          </w:p>
        </w:tc>
        <w:tc>
          <w:tcPr>
            <w:tcW w:type="pct" w:w="2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Horas al mes dedicadas a revisar, validar o corregir.</w:t>
            </w:r>
          </w:p>
        </w:tc>
        <w:tc>
          <w:tcPr>
            <w:tcW w:type="pct" w:w="4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</w:tr>
      <w:tr>
        <w:trPr>
          <w:cantSplit/>
        </w:trPr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Volumen por persona</w:t>
            </w:r>
          </w:p>
        </w:tc>
        <w:tc>
          <w:tcPr>
            <w:tcW w:type="pct" w:w="2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Unidades procesadas en el mes ÷ personas que trabajan en el proceso.</w:t>
            </w:r>
          </w:p>
        </w:tc>
        <w:tc>
          <w:tcPr>
            <w:tcW w:type="pct" w:w="4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</w:tr>
      <w:tr>
        <w:trPr>
          <w:cantSplit/>
        </w:trPr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Satisfacción del cliente interno o externo</w:t>
            </w:r>
          </w:p>
        </w:tc>
        <w:tc>
          <w:tcPr>
            <w:tcW w:type="pct" w:w="2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Calificación promedio de una pregunta fija, con la misma escala antes y después.</w:t>
            </w:r>
          </w:p>
        </w:tc>
        <w:tc>
          <w:tcPr>
            <w:tcW w:type="pct" w:w="4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</w:tr>
    </w:tbl>
    <w:p>
      <w:pPr>
        <w:spacing w:after="120"/>
      </w:pPr>
    </w:p>
    <w:p>
      <w:pPr>
        <w:spacing w:after="160"/>
      </w:pPr>
      <w:r>
        <w:t xml:space="preserve">Ejemplo ilustrativo: "Tiempo de ciclo de solicitudes de compra: antes 6 días, después 4. Horas de revisión: antes 20 h/mes, después 34. El tiempo bajó, pero la revisión subió."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Cómo llenarla en 25 minutos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Define la unidad antes que los indicadores. Si cambia la unidad entre el antes y el después, la comparación no sirve.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Saca la línea base de un sistema o registro, no de memoria. Si no existe, mide dos semanas antes de arrancar.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Usa la misma fórmula, la misma fuente y el mismo periodo en las dos mediciones.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Pon un dueño por indicador: quien saca el dato, no quien lo presenta.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El error más común: medir solo el tiempo de ciclo y presentar la mejora sin mirar las otras cinco filas.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Lee la tabla completa antes de concluir. Un indicador que mejora mientras otro empeora es un hallazgo, no un éxito.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línea que casi siempre falta</w:t>
      </w:r>
    </w:p>
    <w:p>
      <w:pPr>
        <w:spacing w:after="160"/>
      </w:pPr>
      <w:r>
        <w:t xml:space="preserve">Las horas de revisión humana. Si suben, el ahorro puede haberse movido de lugar en vez de desaparecer: el equipo deja de hacer el trabajo y empieza a revisar lo que hace la herramienta. Compara las horas liberadas con las horas de revisión nuevas antes de reportar cualquier ahorro.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Si esto se vuelve una decisión grande</w:t>
      </w:r>
    </w:p>
    <w:p>
      <w:pPr>
        <w:spacing w:after="160"/>
      </w:pPr>
      <w:r>
        <w:t xml:space="preserve">Si los resultados van a sostener una inversión mayor o un cambio de estructura que lleva tu nombre, las herramientas gratuitas de vicsol.org/es/decision-clarity/ te ayudan a estructurarla. No reemplazan una revisión formal.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Mesa de Decisiones · vicsol.org/es/recursos/ · Uso libre con atribución.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Esta hoja estructura una conversación; no es asesoría legal, financiera ni de auditoría.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Mesa de Decisiones</w:t>
    </w:r>
    <w:r>
      <w:rPr>
        <w:rFonts w:ascii="Inter" w:cs="Inter" w:eastAsia="Inter" w:hAnsi="Inter"/>
        <w:color w:val="4B5563"/>
        <w:sz w:val="16"/>
        <w:szCs w:val="16"/>
      </w:rPr>
      <w:t xml:space="preserve">	vicsol.org/es/recursos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Seis indicadores de eficiencia para medir antes y después de la IA</dc:title>
  <dc:subject>Hoja de decisión</dc:subject>
  <dc:creator>Vic Sol · Mesa de Decisiones</dc:creator>
  <cp:keywords>Vic Sol, Mesa de Decisiones, decisiones de IA</cp:keywords>
  <dc:description>Seis indicadores de eficiencia para medir antes y después de la IA</dc:description>
  <cp:lastModifiedBy>Un-named</cp:lastModifiedBy>
  <cp:revision>1</cp:revision>
  <dcterms:created xsi:type="dcterms:W3CDTF">2026-11-03T21:18:51.577Z</dcterms:created>
  <dcterms:modified xsi:type="dcterms:W3CDTF">2026-11-03T21:18:51.577Z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