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Georgia" w:cs="Georgia" w:eastAsia="Georgia" w:hAnsi="Georgia"/>
          <w:color w:val="0B1224"/>
          <w:sz w:val="44"/>
          <w:szCs w:val="44"/>
        </w:rPr>
        <w:t xml:space="preserve">Antes de que un agente pague: 3 permisos firmados</w:t>
      </w:r>
    </w:p>
    <w:p>
      <w:pPr>
        <w:pBdr>
          <w:left w:val="single" w:color="9A7B2F" w:sz="18" w:space="12"/>
        </w:pBdr>
        <w:spacing w:after="220" w:before="60"/>
        <w:ind w:left="360"/>
      </w:pPr>
      <w:r>
        <w:rPr>
          <w:i/>
          <w:iCs/>
          <w:color w:val="4B5563"/>
        </w:rPr>
        <w:t xml:space="preserve">Para quien recibe la propuesta de un agente de IA que paga facturas y quiere dejar los límites en una sola hoja, antes de darle permiso.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Cuándo usarla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El proveedor te ofrece un agente para pagar facturas.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Cada caso raro termina en una discusión sobre si el agente podía hacerlo o no.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Nadie puede decir quién responde si el agente se equivoca.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La hoja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953"/>
        <w:gridCol w:w="5580"/>
        <w:gridCol w:w="1767"/>
      </w:tblGrid>
      <w:tr>
        <w:trPr>
          <w:cantSplit/>
          <w:tblHeader/>
        </w:trPr>
        <w:tc>
          <w:tcPr>
            <w:tcW w:type="pct" w:w="10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Permiso</w:t>
            </w:r>
          </w:p>
        </w:tc>
        <w:tc>
          <w:tcPr>
            <w:tcW w:type="pct" w:w="30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Qué queda escrito</w:t>
            </w:r>
          </w:p>
        </w:tc>
        <w:tc>
          <w:tcPr>
            <w:tcW w:type="pct" w:w="9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Firma del dueño del proceso</w:t>
            </w:r>
          </w:p>
        </w:tc>
      </w:tr>
      <w:tr>
        <w:trPr>
          <w:cantSplit/>
        </w:trPr>
        <w:tc>
          <w:tcPr>
            <w:tcW w:type="pct" w:w="10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1. La tarea exacta</w:t>
            </w:r>
          </w:p>
        </w:tc>
        <w:tc>
          <w:tcPr>
            <w:tcW w:type="pct" w:w="30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Pagar facturas ya aprobadas por una persona. No decidir si se aprueban. Tarea: ____________</w:t>
            </w:r>
          </w:p>
        </w:tc>
        <w:tc>
          <w:tcPr>
            <w:tcW w:type="pct" w:w="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</w:tr>
      <w:tr>
        <w:trPr>
          <w:cantSplit/>
        </w:trPr>
        <w:tc>
          <w:tcPr>
            <w:tcW w:type="pct" w:w="10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2. El límite y cuándo se detiene</w:t>
            </w:r>
          </w:p>
        </w:tc>
        <w:tc>
          <w:tcPr>
            <w:tcW w:type="pct" w:w="30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Hasta qué monto y qué casos pasa a una persona, como un proveedor nuevo o un monto que no encaja. Límite: US$ ______ · Se detiene si: ____________</w:t>
            </w:r>
          </w:p>
        </w:tc>
        <w:tc>
          <w:tcPr>
            <w:tcW w:type="pct" w:w="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</w:tr>
      <w:tr>
        <w:trPr>
          <w:cantSplit/>
        </w:trPr>
        <w:tc>
          <w:tcPr>
            <w:tcW w:type="pct" w:w="10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3. Quién responde si se equivoca</w:t>
            </w:r>
          </w:p>
        </w:tc>
        <w:tc>
          <w:tcPr>
            <w:tcW w:type="pct" w:w="30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Una persona con nombre, no «el sistema». Nombre: ____________</w:t>
            </w:r>
          </w:p>
        </w:tc>
        <w:tc>
          <w:tcPr>
            <w:tcW w:type="pct" w:w="9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</w:p>
        </w:tc>
      </w:tr>
    </w:tbl>
    <w:p>
      <w:pPr>
        <w:spacing w:after="120"/>
      </w:pPr>
    </w:p>
    <w:p>
      <w:pPr>
        <w:spacing w:after="160"/>
      </w:pPr>
      <w:r>
        <w:t xml:space="preserve">Que lo firme el dueño del proceso, no el proveedor.</w:t>
      </w:r>
    </w:p>
    <w:p>
      <w:pPr>
        <w:spacing w:after="160"/>
      </w:pPr>
      <w:r>
        <w:t xml:space="preserve">Mi regla: un agente sin límites no te ahorra trabajo. Te pasa el riesgo a ti.</w:t>
      </w:r>
    </w:p>
    <w:p>
      <w:pPr>
        <w:spacing w:after="160"/>
      </w:pPr>
      <w:r>
        <w:t xml:space="preserve">Dueño: ____________ · Fecha: ______ · Próxima revisión: ______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Cómo llenarla en 10 minutos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Escribe la tarea exacta con un verbo. Si incluye decidir, todavía no está lista.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Pon el límite en dólares y anota los casos que pasan a una persona.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Escribe el nombre de quien responde. Un cargo compartido o «el sistema» no cuentan.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Pide la firma del dueño del proceso y deja escrita la fecha de la próxima revisión.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La línea que casi siempre falta</w:t>
      </w:r>
    </w:p>
    <w:p>
      <w:pPr>
        <w:spacing w:after="160"/>
      </w:pPr>
      <w:r>
        <w:t xml:space="preserve">Cuándo se detiene. Con el caso escrito, nadie tiene que volver a discutir qué hacer cuando aparece un proveedor nuevo o un monto que no encaja: el agente se detiene y pasa a una persona.</w:t>
      </w:r>
    </w:p>
    <w:p>
      <w:pPr>
        <w:spacing w:after="160"/>
      </w:pPr>
      <w:r>
        <w:t xml:space="preserve">El dato detrás de esta hoja está en el </w:t>
      </w:r>
      <w:hyperlink w:history="1" r:id="rIdbtcporkzxoui7sispf4tk">
        <w:r>
          <w:rPr>
            <w:rStyle w:val="Hyperlink"/>
          </w:rPr>
          <w:t xml:space="preserve">estudio de Gartner sobre agentes y gobierno</w:t>
        </w:r>
      </w:hyperlink>
      <w:r>
        <w:t xml:space="preserve">. Para revisar otros riesgos, usa el </w:t>
      </w:r>
      <w:hyperlink w:history="1" r:id="rIdmevmxvzl47msupqooqf1k">
        <w:r>
          <w:rPr>
            <w:rStyle w:val="Hyperlink"/>
          </w:rPr>
          <w:t xml:space="preserve">checklist de riesgos de IA en la operación</w:t>
        </w:r>
      </w:hyperlink>
      <w:r>
        <w:t xml:space="preserve">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Si esto se vuelve una decisión grande</w:t>
      </w:r>
    </w:p>
    <w:p>
      <w:pPr>
        <w:spacing w:after="160"/>
      </w:pPr>
      <w:r>
        <w:t xml:space="preserve">Si la decisión es difícil de revertir y lleva tu nombre, las herramientas gratuitas de vicsol.org/es/decision-clarity/ te ayudan a estructurarla. No reemplazan una revisión formal.</w:t>
      </w:r>
    </w:p>
    <w:sectPr>
      <w:headerReference w:type="default" r:id="rId6"/>
      <w:footerReference w:type="default" r:id="rId7"/>
      <w:pgSz w:w="11906" w:h="16838" w:orient="portrait"/>
      <w:pgMar w:top="1300" w:right="1250" w:bottom="1500" w:left="1250" w:header="560" w:footer="5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Vic Sol · Mesa de Decisiones · vicsol.org/es/recursos/ · Uso libre con atribución.</w:t>
    </w:r>
  </w:p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Esta hoja estructura una conversación; no es asesoría legal, financiera ni de auditoría.</w:t>
    </w:r>
  </w:p>
  <w:p>
    <w:pPr>
      <w:jc w:val="right"/>
    </w:pP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PAGE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  <w:r>
      <w:rPr>
        <w:rFonts w:ascii="Inter" w:cs="Inter" w:eastAsia="Inter" w:hAnsi="Inter"/>
        <w:color w:val="4B5563"/>
        <w:sz w:val="15"/>
        <w:szCs w:val="15"/>
      </w:rPr>
      <w:t xml:space="preserve"> / </w:t>
    </w: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NUMPAGES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7DAE3" w:sz="4" w:space="4"/>
      </w:pBdr>
      <w:tabs>
        <w:tab w:val="right" w:pos="9000"/>
      </w:tabs>
    </w:pPr>
    <w:r>
      <w:rPr>
        <w:rFonts w:ascii="Inter" w:cs="Inter" w:eastAsia="Inter" w:hAnsi="Inter"/>
        <w:b/>
        <w:bCs/>
        <w:caps/>
        <w:color w:val="9A7B2F"/>
        <w:spacing w:val="20"/>
        <w:sz w:val="16"/>
        <w:szCs w:val="16"/>
      </w:rPr>
      <w:t xml:space="preserve">Vic Sol · Mesa de Decisiones</w:t>
    </w:r>
    <w:r>
      <w:rPr>
        <w:rFonts w:ascii="Inter" w:cs="Inter" w:eastAsia="Inter" w:hAnsi="Inter"/>
        <w:color w:val="4B5563"/>
        <w:sz w:val="16"/>
        <w:szCs w:val="16"/>
      </w:rPr>
      <w:t xml:space="preserve">	vicsol.org/es/recursos · 2026-11-03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  <w:rPr>
        <w:color w:val="9A7B2F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9A7B2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0B1224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3730A3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0" w:before="0" w:line="264"/>
    </w:pPr>
    <w:rPr>
      <w:rFonts w:ascii="Georgia" w:cs="Georgia" w:eastAsia="Georgia" w:hAnsi="Georgia"/>
      <w:color w:val="0B12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top w:val="single" w:color="D7DAE3" w:sz="4" w:space="8"/>
      </w:pBdr>
      <w:spacing w:after="120" w:before="360"/>
    </w:pPr>
    <w:rPr>
      <w:rFonts w:ascii="Georgia" w:cs="Georgia" w:eastAsia="Georgia" w:hAnsi="Georgia"/>
      <w:color w:val="0B122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</w:pPr>
    <w:rPr>
      <w:rFonts w:ascii="Georgia" w:cs="Georgia" w:eastAsia="Georgia" w:hAnsi="Georgia"/>
      <w:color w:val="0B1224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btcporkzxoui7sispf4tk" Type="http://schemas.openxmlformats.org/officeDocument/2006/relationships/hyperlink" Target="https://vicsol.org/es/recursos/estudio-agentes-sin-gobierno/" TargetMode="External"/><Relationship Id="rIdmevmxvzl47msupqooqf1k" Type="http://schemas.openxmlformats.org/officeDocument/2006/relationships/hyperlink" Target="https://vicsol.org/es/recursos/checklist-riesgos-ia-operacion/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Antes de que un agente pague: 3 permisos firmados</dc:title>
  <dc:subject>Hoja de decisión</dc:subject>
  <dc:creator>Vic Sol · Mesa de Decisiones</dc:creator>
  <cp:keywords>Vic Sol, Mesa de Decisiones, decisiones de IA</cp:keywords>
  <dc:description>Antes de que un agente pague: 3 permisos firmados</dc:description>
  <cp:lastModifiedBy>Un-named</cp:lastModifiedBy>
  <cp:revision>1</cp:revision>
  <dcterms:created xsi:type="dcterms:W3CDTF">2026-11-03T21:18:51.656Z</dcterms:created>
  <dcterms:modified xsi:type="dcterms:W3CDTF">2026-11-03T21:18:51.656Z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